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1D9A9" w14:textId="77777777" w:rsidR="00643BBA" w:rsidRDefault="00643BBA">
      <w:pPr>
        <w:autoSpaceDE w:val="0"/>
        <w:autoSpaceDN w:val="0"/>
        <w:adjustRightInd w:val="0"/>
        <w:spacing w:after="180"/>
        <w:jc w:val="center"/>
        <w:rPr>
          <w:rFonts w:ascii="Arial" w:hAnsi="Arial" w:cs="Arial"/>
          <w:b/>
          <w:sz w:val="24"/>
          <w:szCs w:val="24"/>
        </w:rPr>
      </w:pPr>
    </w:p>
    <w:p w14:paraId="6C885112" w14:textId="05FCC3D8" w:rsidR="00EF58B8" w:rsidRPr="00A64D84" w:rsidRDefault="00EF58B8" w:rsidP="00BC7F52">
      <w:pPr>
        <w:autoSpaceDE w:val="0"/>
        <w:autoSpaceDN w:val="0"/>
        <w:adjustRightInd w:val="0"/>
        <w:spacing w:before="100" w:beforeAutospacing="1" w:after="100" w:afterAutospacing="1"/>
        <w:jc w:val="center"/>
        <w:rPr>
          <w:rFonts w:ascii="Arial" w:hAnsi="Arial" w:cs="Arial"/>
          <w:b/>
          <w:sz w:val="24"/>
          <w:szCs w:val="24"/>
        </w:rPr>
      </w:pPr>
      <w:r w:rsidRPr="00A64D84">
        <w:rPr>
          <w:rFonts w:ascii="Arial" w:hAnsi="Arial" w:cs="Arial"/>
          <w:b/>
          <w:sz w:val="24"/>
          <w:szCs w:val="24"/>
        </w:rPr>
        <w:t>GUIDE TO THE NON-COMMERCIAL LOAN, DONATION OR EXCHANGE OF SCIENTIFIC SPECIMENS BETWEEN AUSTRALIAN AND REGISTERED OVERSEAS INSTITUTIONS.</w:t>
      </w:r>
    </w:p>
    <w:p w14:paraId="14E503F9" w14:textId="4DFE19AA" w:rsidR="00191DDC" w:rsidRDefault="00EF58B8" w:rsidP="00191DDC">
      <w:pPr>
        <w:pStyle w:val="Heading1"/>
        <w:spacing w:before="100" w:beforeAutospacing="1" w:after="100" w:afterAutospacing="1"/>
        <w:rPr>
          <w:rFonts w:ascii="Arial" w:hAnsi="Arial" w:cs="Arial"/>
          <w:b w:val="0"/>
          <w:sz w:val="24"/>
          <w:szCs w:val="24"/>
        </w:rPr>
      </w:pPr>
      <w:r w:rsidRPr="00A64D84">
        <w:rPr>
          <w:rFonts w:ascii="Arial" w:hAnsi="Arial" w:cs="Arial"/>
          <w:b w:val="0"/>
          <w:sz w:val="24"/>
          <w:szCs w:val="24"/>
        </w:rPr>
        <w:t xml:space="preserve">Under </w:t>
      </w:r>
      <w:r w:rsidR="00191DDC">
        <w:rPr>
          <w:rFonts w:ascii="Arial" w:hAnsi="Arial" w:cs="Arial"/>
          <w:b w:val="0"/>
          <w:sz w:val="24"/>
          <w:szCs w:val="24"/>
        </w:rPr>
        <w:t xml:space="preserve">national environmental law - </w:t>
      </w:r>
      <w:r w:rsidRPr="00A64D84">
        <w:rPr>
          <w:rFonts w:ascii="Arial" w:hAnsi="Arial" w:cs="Arial"/>
          <w:b w:val="0"/>
          <w:sz w:val="24"/>
          <w:szCs w:val="24"/>
        </w:rPr>
        <w:t>the</w:t>
      </w:r>
      <w:r w:rsidRPr="00A64D84">
        <w:rPr>
          <w:rFonts w:ascii="Arial" w:hAnsi="Arial" w:cs="Arial"/>
          <w:b w:val="0"/>
          <w:i/>
          <w:sz w:val="24"/>
          <w:szCs w:val="24"/>
        </w:rPr>
        <w:t xml:space="preserve"> Environment Protection and Biodiversity Conservation Act 1999 </w:t>
      </w:r>
      <w:r w:rsidRPr="00A64D84">
        <w:rPr>
          <w:rFonts w:ascii="Arial" w:hAnsi="Arial" w:cs="Arial"/>
          <w:b w:val="0"/>
          <w:sz w:val="24"/>
          <w:szCs w:val="24"/>
        </w:rPr>
        <w:t>(EPBC Act)</w:t>
      </w:r>
      <w:r w:rsidRPr="00A64D84">
        <w:rPr>
          <w:rFonts w:ascii="Arial" w:hAnsi="Arial" w:cs="Arial"/>
          <w:b w:val="0"/>
          <w:iCs/>
          <w:sz w:val="24"/>
          <w:szCs w:val="24"/>
        </w:rPr>
        <w:t xml:space="preserve">, </w:t>
      </w:r>
      <w:r w:rsidRPr="00A64D84">
        <w:rPr>
          <w:rFonts w:ascii="Arial" w:hAnsi="Arial" w:cs="Arial"/>
          <w:b w:val="0"/>
          <w:sz w:val="24"/>
          <w:szCs w:val="24"/>
        </w:rPr>
        <w:t>permits are required for</w:t>
      </w:r>
      <w:r w:rsidR="003F319A">
        <w:rPr>
          <w:rFonts w:ascii="Arial" w:hAnsi="Arial" w:cs="Arial"/>
          <w:b w:val="0"/>
          <w:sz w:val="24"/>
          <w:szCs w:val="24"/>
        </w:rPr>
        <w:t xml:space="preserve"> the</w:t>
      </w:r>
      <w:r w:rsidR="00191DDC">
        <w:rPr>
          <w:rFonts w:ascii="Arial" w:hAnsi="Arial" w:cs="Arial"/>
          <w:b w:val="0"/>
          <w:sz w:val="24"/>
          <w:szCs w:val="24"/>
        </w:rPr>
        <w:t>:</w:t>
      </w:r>
    </w:p>
    <w:p w14:paraId="400FB963" w14:textId="0297A995" w:rsidR="00191DDC" w:rsidRDefault="00EF58B8" w:rsidP="00191DDC">
      <w:pPr>
        <w:pStyle w:val="Heading1"/>
        <w:numPr>
          <w:ilvl w:val="0"/>
          <w:numId w:val="38"/>
        </w:numPr>
        <w:spacing w:before="100" w:beforeAutospacing="1" w:after="100" w:afterAutospacing="1"/>
        <w:rPr>
          <w:rFonts w:ascii="Arial" w:hAnsi="Arial" w:cs="Arial"/>
          <w:b w:val="0"/>
          <w:sz w:val="24"/>
          <w:szCs w:val="24"/>
        </w:rPr>
      </w:pPr>
      <w:r w:rsidRPr="00A64D84">
        <w:rPr>
          <w:rFonts w:ascii="Arial" w:hAnsi="Arial" w:cs="Arial"/>
          <w:b w:val="0"/>
          <w:sz w:val="24"/>
          <w:szCs w:val="24"/>
        </w:rPr>
        <w:t xml:space="preserve">export of </w:t>
      </w:r>
      <w:r w:rsidR="00642AF5">
        <w:rPr>
          <w:rFonts w:ascii="Arial" w:hAnsi="Arial" w:cs="Arial"/>
          <w:b w:val="0"/>
          <w:sz w:val="24"/>
          <w:szCs w:val="24"/>
        </w:rPr>
        <w:t xml:space="preserve">specimens of </w:t>
      </w:r>
      <w:r w:rsidRPr="00A64D84">
        <w:rPr>
          <w:rFonts w:ascii="Arial" w:hAnsi="Arial" w:cs="Arial"/>
          <w:b w:val="0"/>
          <w:sz w:val="24"/>
          <w:szCs w:val="24"/>
        </w:rPr>
        <w:t xml:space="preserve">native species, </w:t>
      </w:r>
    </w:p>
    <w:p w14:paraId="00C531A1" w14:textId="0F517812" w:rsidR="00191DDC" w:rsidRPr="003F319A" w:rsidRDefault="00EF58B8">
      <w:pPr>
        <w:pStyle w:val="Heading1"/>
        <w:numPr>
          <w:ilvl w:val="0"/>
          <w:numId w:val="38"/>
        </w:numPr>
        <w:spacing w:before="100" w:beforeAutospacing="1" w:after="100" w:afterAutospacing="1"/>
        <w:rPr>
          <w:rFonts w:ascii="Arial" w:hAnsi="Arial" w:cs="Arial"/>
          <w:b w:val="0"/>
          <w:sz w:val="24"/>
          <w:szCs w:val="24"/>
        </w:rPr>
      </w:pPr>
      <w:r w:rsidRPr="00A64D84">
        <w:rPr>
          <w:rFonts w:ascii="Arial" w:hAnsi="Arial" w:cs="Arial"/>
          <w:b w:val="0"/>
          <w:sz w:val="24"/>
          <w:szCs w:val="24"/>
        </w:rPr>
        <w:t xml:space="preserve">import and export of </w:t>
      </w:r>
      <w:r w:rsidR="00642AF5">
        <w:rPr>
          <w:rFonts w:ascii="Arial" w:hAnsi="Arial" w:cs="Arial"/>
          <w:b w:val="0"/>
          <w:sz w:val="24"/>
          <w:szCs w:val="24"/>
        </w:rPr>
        <w:t xml:space="preserve">specimens of species listed on the </w:t>
      </w:r>
      <w:r w:rsidRPr="00A64D84">
        <w:rPr>
          <w:rFonts w:ascii="Arial" w:hAnsi="Arial" w:cs="Arial"/>
          <w:b w:val="0"/>
          <w:sz w:val="24"/>
          <w:szCs w:val="24"/>
        </w:rPr>
        <w:t xml:space="preserve">Convention on International Trade in Endangered Species of Wild Fauna and Flora (CITES) </w:t>
      </w:r>
      <w:r w:rsidR="003F319A">
        <w:rPr>
          <w:rFonts w:ascii="Arial" w:hAnsi="Arial" w:cs="Arial"/>
          <w:b w:val="0"/>
          <w:sz w:val="24"/>
          <w:szCs w:val="24"/>
        </w:rPr>
        <w:t>(</w:t>
      </w:r>
      <w:r w:rsidR="003F319A" w:rsidRPr="00805900">
        <w:rPr>
          <w:rFonts w:ascii="Arial" w:hAnsi="Arial" w:cs="Arial"/>
          <w:b w:val="0"/>
          <w:sz w:val="24"/>
          <w:szCs w:val="24"/>
        </w:rPr>
        <w:t xml:space="preserve">see </w:t>
      </w:r>
      <w:r w:rsidR="0060152F" w:rsidRPr="00805900">
        <w:rPr>
          <w:rFonts w:ascii="Arial" w:hAnsi="Arial" w:cs="Arial"/>
          <w:b w:val="0"/>
          <w:sz w:val="24"/>
          <w:szCs w:val="24"/>
        </w:rPr>
        <w:t>http://checklist.cites.org/#/en</w:t>
      </w:r>
      <w:r w:rsidR="003F319A" w:rsidRPr="00805900">
        <w:rPr>
          <w:rFonts w:ascii="Arial" w:hAnsi="Arial" w:cs="Arial"/>
          <w:b w:val="0"/>
          <w:sz w:val="24"/>
          <w:szCs w:val="24"/>
        </w:rPr>
        <w:t xml:space="preserve"> or </w:t>
      </w:r>
      <w:r w:rsidR="0060152F" w:rsidRPr="00805900">
        <w:rPr>
          <w:rFonts w:ascii="Arial" w:hAnsi="Arial" w:cs="Arial"/>
          <w:b w:val="0"/>
          <w:sz w:val="24"/>
          <w:szCs w:val="24"/>
        </w:rPr>
        <w:t>https://www.speciesplus.net/</w:t>
      </w:r>
      <w:r w:rsidR="003F319A" w:rsidRPr="00805900">
        <w:rPr>
          <w:rFonts w:ascii="Arial" w:hAnsi="Arial" w:cs="Arial"/>
          <w:b w:val="0"/>
          <w:sz w:val="24"/>
          <w:szCs w:val="24"/>
        </w:rPr>
        <w:t xml:space="preserve">) </w:t>
      </w:r>
      <w:r w:rsidRPr="00805900">
        <w:rPr>
          <w:rFonts w:ascii="Arial" w:hAnsi="Arial" w:cs="Arial"/>
          <w:b w:val="0"/>
          <w:sz w:val="24"/>
          <w:szCs w:val="24"/>
        </w:rPr>
        <w:t xml:space="preserve">and </w:t>
      </w:r>
      <w:r w:rsidR="003F319A" w:rsidRPr="00805900">
        <w:rPr>
          <w:rFonts w:ascii="Arial" w:hAnsi="Arial" w:cs="Arial"/>
          <w:b w:val="0"/>
          <w:sz w:val="24"/>
          <w:szCs w:val="24"/>
        </w:rPr>
        <w:t>the</w:t>
      </w:r>
      <w:r w:rsidR="003F319A" w:rsidRPr="003F319A">
        <w:rPr>
          <w:rFonts w:ascii="Arial" w:hAnsi="Arial" w:cs="Arial"/>
          <w:b w:val="0"/>
          <w:sz w:val="24"/>
          <w:szCs w:val="24"/>
        </w:rPr>
        <w:t xml:space="preserve"> </w:t>
      </w:r>
    </w:p>
    <w:p w14:paraId="2FA5613B" w14:textId="43781432" w:rsidR="00191DDC" w:rsidRDefault="00EF58B8" w:rsidP="00191DDC">
      <w:pPr>
        <w:pStyle w:val="Heading1"/>
        <w:numPr>
          <w:ilvl w:val="0"/>
          <w:numId w:val="38"/>
        </w:numPr>
        <w:spacing w:before="100" w:beforeAutospacing="1" w:after="100" w:afterAutospacing="1"/>
        <w:rPr>
          <w:rFonts w:ascii="Arial" w:hAnsi="Arial" w:cs="Arial"/>
          <w:b w:val="0"/>
          <w:sz w:val="24"/>
          <w:szCs w:val="24"/>
        </w:rPr>
      </w:pPr>
      <w:r w:rsidRPr="00A64D84">
        <w:rPr>
          <w:rFonts w:ascii="Arial" w:hAnsi="Arial" w:cs="Arial"/>
          <w:b w:val="0"/>
          <w:sz w:val="24"/>
          <w:szCs w:val="24"/>
        </w:rPr>
        <w:t xml:space="preserve">import of live specimens. </w:t>
      </w:r>
    </w:p>
    <w:p w14:paraId="6C885113" w14:textId="30FF4F8D" w:rsidR="00EF58B8" w:rsidRPr="00A64D84" w:rsidRDefault="009B2C07" w:rsidP="00BC7F52">
      <w:pPr>
        <w:pStyle w:val="Heading1"/>
        <w:spacing w:before="100" w:beforeAutospacing="1" w:after="100" w:afterAutospacing="1"/>
        <w:rPr>
          <w:rFonts w:ascii="Arial" w:hAnsi="Arial" w:cs="Arial"/>
          <w:b w:val="0"/>
          <w:sz w:val="24"/>
          <w:szCs w:val="24"/>
        </w:rPr>
      </w:pPr>
      <w:r>
        <w:rPr>
          <w:rFonts w:ascii="Arial" w:hAnsi="Arial" w:cs="Arial"/>
          <w:b w:val="0"/>
          <w:sz w:val="24"/>
          <w:szCs w:val="24"/>
        </w:rPr>
        <w:t>S</w:t>
      </w:r>
      <w:r w:rsidR="00EF58B8" w:rsidRPr="00A64D84">
        <w:rPr>
          <w:rFonts w:ascii="Arial" w:hAnsi="Arial" w:cs="Arial"/>
          <w:b w:val="0"/>
          <w:sz w:val="24"/>
          <w:szCs w:val="24"/>
        </w:rPr>
        <w:t>cientific institutions</w:t>
      </w:r>
      <w:r w:rsidR="004F2CB9">
        <w:rPr>
          <w:rFonts w:ascii="Arial" w:hAnsi="Arial" w:cs="Arial"/>
          <w:b w:val="0"/>
          <w:sz w:val="24"/>
          <w:szCs w:val="24"/>
        </w:rPr>
        <w:t xml:space="preserve"> </w:t>
      </w:r>
      <w:r w:rsidR="004F2CB9" w:rsidRPr="004227A9">
        <w:rPr>
          <w:rFonts w:ascii="Arial" w:hAnsi="Arial" w:cs="Arial"/>
          <w:b w:val="0"/>
          <w:sz w:val="24"/>
          <w:szCs w:val="24"/>
        </w:rPr>
        <w:t>(museum, laboratory, forensic research institution etc.)</w:t>
      </w:r>
      <w:r w:rsidR="004F2CB9" w:rsidRPr="0095480B">
        <w:t xml:space="preserve"> </w:t>
      </w:r>
      <w:r w:rsidR="00EF58B8" w:rsidRPr="00A64D84">
        <w:rPr>
          <w:rFonts w:ascii="Arial" w:hAnsi="Arial" w:cs="Arial"/>
          <w:b w:val="0"/>
          <w:sz w:val="24"/>
          <w:szCs w:val="24"/>
        </w:rPr>
        <w:t xml:space="preserve"> </w:t>
      </w:r>
      <w:r>
        <w:rPr>
          <w:rFonts w:ascii="Arial" w:hAnsi="Arial" w:cs="Arial"/>
          <w:b w:val="0"/>
          <w:sz w:val="24"/>
          <w:szCs w:val="24"/>
        </w:rPr>
        <w:t xml:space="preserve">that have been registered for this purpose </w:t>
      </w:r>
      <w:r w:rsidR="00EF58B8" w:rsidRPr="00A64D84">
        <w:rPr>
          <w:rFonts w:ascii="Arial" w:hAnsi="Arial" w:cs="Arial"/>
          <w:b w:val="0"/>
          <w:sz w:val="24"/>
          <w:szCs w:val="24"/>
        </w:rPr>
        <w:t>may exchange certain specimens of CITES-listed species and Australian native specimens</w:t>
      </w:r>
      <w:r w:rsidR="00191DDC">
        <w:rPr>
          <w:rFonts w:ascii="Arial" w:hAnsi="Arial" w:cs="Arial"/>
          <w:b w:val="0"/>
          <w:sz w:val="24"/>
          <w:szCs w:val="24"/>
        </w:rPr>
        <w:t xml:space="preserve"> without permits</w:t>
      </w:r>
      <w:r w:rsidR="00EF58B8" w:rsidRPr="00A64D84">
        <w:rPr>
          <w:rFonts w:ascii="Arial" w:hAnsi="Arial" w:cs="Arial"/>
          <w:b w:val="0"/>
          <w:sz w:val="24"/>
          <w:szCs w:val="24"/>
        </w:rPr>
        <w:t xml:space="preserve">, provided it is part of an exchange of non-commercial scientific specimens. Such scientific transfers do not require a formal export or import permit but under this exemption </w:t>
      </w:r>
      <w:r w:rsidR="00191DDC">
        <w:rPr>
          <w:rFonts w:ascii="Arial" w:hAnsi="Arial" w:cs="Arial"/>
          <w:b w:val="0"/>
          <w:sz w:val="24"/>
          <w:szCs w:val="24"/>
        </w:rPr>
        <w:t xml:space="preserve">they </w:t>
      </w:r>
      <w:r w:rsidR="00EF58B8" w:rsidRPr="00A64D84">
        <w:rPr>
          <w:rFonts w:ascii="Arial" w:hAnsi="Arial" w:cs="Arial"/>
          <w:b w:val="0"/>
          <w:sz w:val="24"/>
          <w:szCs w:val="24"/>
        </w:rPr>
        <w:t xml:space="preserve">must carry a label detailing specific information regarding the specimen(s). This exemption for certain scientific specimens is designed to facilitate scientific study, including study into the </w:t>
      </w:r>
      <w:r w:rsidR="00191DDC">
        <w:rPr>
          <w:rFonts w:ascii="Arial" w:hAnsi="Arial" w:cs="Arial"/>
          <w:b w:val="0"/>
          <w:sz w:val="24"/>
          <w:szCs w:val="24"/>
        </w:rPr>
        <w:t>taxonom</w:t>
      </w:r>
      <w:r w:rsidR="005A6953">
        <w:rPr>
          <w:rFonts w:ascii="Arial" w:hAnsi="Arial" w:cs="Arial"/>
          <w:b w:val="0"/>
          <w:sz w:val="24"/>
          <w:szCs w:val="24"/>
        </w:rPr>
        <w:t>y</w:t>
      </w:r>
      <w:r w:rsidR="00191DDC">
        <w:rPr>
          <w:rFonts w:ascii="Arial" w:hAnsi="Arial" w:cs="Arial"/>
          <w:b w:val="0"/>
          <w:sz w:val="24"/>
          <w:szCs w:val="24"/>
        </w:rPr>
        <w:t xml:space="preserve"> or </w:t>
      </w:r>
      <w:r w:rsidR="00EF58B8" w:rsidRPr="00A64D84">
        <w:rPr>
          <w:rFonts w:ascii="Arial" w:hAnsi="Arial" w:cs="Arial"/>
          <w:b w:val="0"/>
          <w:sz w:val="24"/>
          <w:szCs w:val="24"/>
        </w:rPr>
        <w:t>conservation of species.</w:t>
      </w:r>
    </w:p>
    <w:p w14:paraId="6C885114" w14:textId="77777777" w:rsidR="00EF58B8" w:rsidRPr="00A64D84" w:rsidRDefault="00EF58B8" w:rsidP="00BC7F52">
      <w:pPr>
        <w:pStyle w:val="Heading5"/>
        <w:spacing w:before="100" w:beforeAutospacing="1" w:after="100" w:afterAutospacing="1"/>
        <w:rPr>
          <w:rFonts w:ascii="Arial" w:hAnsi="Arial" w:cs="Arial"/>
          <w:szCs w:val="24"/>
        </w:rPr>
      </w:pPr>
      <w:r w:rsidRPr="00A64D84">
        <w:rPr>
          <w:rFonts w:ascii="Arial" w:hAnsi="Arial" w:cs="Arial"/>
          <w:szCs w:val="24"/>
        </w:rPr>
        <w:t>CITES-listed specimens</w:t>
      </w:r>
    </w:p>
    <w:p w14:paraId="780B92ED" w14:textId="6FFBFA12" w:rsidR="003F319A" w:rsidRPr="00A64D84" w:rsidRDefault="00EF58B8" w:rsidP="00BC7F52">
      <w:pPr>
        <w:pStyle w:val="NormalWeb"/>
        <w:keepNext/>
        <w:outlineLvl w:val="1"/>
        <w:rPr>
          <w:rFonts w:ascii="Arial" w:hAnsi="Arial" w:cs="Arial"/>
        </w:rPr>
      </w:pPr>
      <w:r w:rsidRPr="00A64D84">
        <w:rPr>
          <w:rFonts w:ascii="Arial" w:hAnsi="Arial" w:cs="Arial"/>
          <w:lang w:eastAsia="en-US"/>
        </w:rPr>
        <w:t xml:space="preserve">Both the Australian and overseas scientific institutions must be registered with the CITES Management Authority in their country if they wish to exchange specimens </w:t>
      </w:r>
      <w:r w:rsidRPr="00805900">
        <w:rPr>
          <w:rFonts w:ascii="Arial" w:hAnsi="Arial" w:cs="Arial"/>
          <w:lang w:eastAsia="en-US"/>
        </w:rPr>
        <w:t>derived from CITES species</w:t>
      </w:r>
      <w:r w:rsidRPr="00805900">
        <w:rPr>
          <w:rFonts w:ascii="Arial" w:hAnsi="Arial" w:cs="Arial"/>
        </w:rPr>
        <w:t>.</w:t>
      </w:r>
      <w:r w:rsidR="003F319A" w:rsidRPr="00805900">
        <w:rPr>
          <w:rFonts w:ascii="Arial" w:hAnsi="Arial" w:cs="Arial"/>
        </w:rPr>
        <w:t xml:space="preserve"> The Register of scientific institutions is available at </w:t>
      </w:r>
      <w:r w:rsidR="0060152F" w:rsidRPr="00805900">
        <w:rPr>
          <w:rFonts w:ascii="Arial" w:hAnsi="Arial" w:cs="Arial"/>
        </w:rPr>
        <w:t>https://www.cites.org/eng/common/reg/e_si.html</w:t>
      </w:r>
      <w:r w:rsidR="003F319A" w:rsidRPr="00805900">
        <w:rPr>
          <w:rFonts w:ascii="Arial" w:hAnsi="Arial" w:cs="Arial"/>
        </w:rPr>
        <w:t>.</w:t>
      </w:r>
    </w:p>
    <w:p w14:paraId="6C885116" w14:textId="77777777" w:rsidR="00EF58B8" w:rsidRPr="00A64D84" w:rsidRDefault="00EF58B8" w:rsidP="00BC7F52">
      <w:pPr>
        <w:pStyle w:val="Heading5"/>
        <w:spacing w:before="100" w:beforeAutospacing="1" w:after="100" w:afterAutospacing="1"/>
        <w:rPr>
          <w:rFonts w:ascii="Arial" w:hAnsi="Arial" w:cs="Arial"/>
          <w:szCs w:val="24"/>
        </w:rPr>
      </w:pPr>
      <w:r w:rsidRPr="00A64D84">
        <w:rPr>
          <w:rFonts w:ascii="Arial" w:hAnsi="Arial" w:cs="Arial"/>
          <w:szCs w:val="24"/>
        </w:rPr>
        <w:t>Australian native specimens (except CITES specimens)</w:t>
      </w:r>
    </w:p>
    <w:p w14:paraId="6C885117" w14:textId="77777777" w:rsidR="00EF58B8" w:rsidRPr="00A64D84" w:rsidRDefault="00EF58B8" w:rsidP="00BC7F52">
      <w:pPr>
        <w:pStyle w:val="NormalWeb"/>
        <w:keepNext/>
        <w:outlineLvl w:val="1"/>
        <w:rPr>
          <w:rFonts w:ascii="Arial" w:hAnsi="Arial" w:cs="Arial"/>
        </w:rPr>
      </w:pPr>
      <w:r w:rsidRPr="00A64D84">
        <w:rPr>
          <w:rFonts w:ascii="Arial" w:hAnsi="Arial" w:cs="Arial"/>
        </w:rPr>
        <w:t>Both the Australian and overseas scientific institutions must be registered to participate in the scientific exchange system for Australian native species not listed under CITES.</w:t>
      </w:r>
    </w:p>
    <w:p w14:paraId="6C885118" w14:textId="3D7B7F70" w:rsidR="00EF58B8" w:rsidRPr="00991531" w:rsidRDefault="00EF58B8" w:rsidP="00BC7F52">
      <w:pPr>
        <w:pStyle w:val="Heading1"/>
        <w:keepNext w:val="0"/>
        <w:spacing w:before="100" w:beforeAutospacing="1" w:after="100" w:afterAutospacing="1"/>
        <w:rPr>
          <w:rFonts w:ascii="Arial" w:hAnsi="Arial" w:cs="Arial"/>
          <w:b w:val="0"/>
          <w:sz w:val="24"/>
          <w:szCs w:val="24"/>
        </w:rPr>
      </w:pPr>
      <w:r w:rsidRPr="00991531">
        <w:rPr>
          <w:rFonts w:ascii="Arial" w:hAnsi="Arial" w:cs="Arial"/>
          <w:b w:val="0"/>
          <w:sz w:val="24"/>
          <w:szCs w:val="24"/>
          <w:lang w:eastAsia="en-AU"/>
        </w:rPr>
        <w:t xml:space="preserve">Overseas institutions that are already registered for exchange of CITES specimens do not need an additional registration for the purpose of exchanging non-CITES Australian native specimens. Overseas institutions which are not registered by their CITES Management Authority but wish to only exchange Australian native non-CITES specimens can apply to the Department of </w:t>
      </w:r>
      <w:r w:rsidR="003F319A">
        <w:rPr>
          <w:rFonts w:ascii="Arial" w:hAnsi="Arial" w:cs="Arial"/>
          <w:b w:val="0"/>
          <w:sz w:val="24"/>
          <w:szCs w:val="24"/>
          <w:lang w:eastAsia="en-AU"/>
        </w:rPr>
        <w:t>Agriculture, Water and the</w:t>
      </w:r>
      <w:r w:rsidR="003F319A" w:rsidRPr="00991531">
        <w:rPr>
          <w:rFonts w:ascii="Arial" w:hAnsi="Arial" w:cs="Arial"/>
          <w:b w:val="0"/>
          <w:sz w:val="24"/>
          <w:szCs w:val="24"/>
          <w:lang w:eastAsia="en-AU"/>
        </w:rPr>
        <w:t xml:space="preserve"> </w:t>
      </w:r>
      <w:r w:rsidR="00562139" w:rsidRPr="00991531">
        <w:rPr>
          <w:rFonts w:ascii="Arial" w:hAnsi="Arial" w:cs="Arial"/>
          <w:b w:val="0"/>
          <w:sz w:val="24"/>
          <w:szCs w:val="24"/>
          <w:lang w:eastAsia="en-AU"/>
        </w:rPr>
        <w:t>Environment</w:t>
      </w:r>
      <w:r w:rsidR="00535F3F" w:rsidRPr="00991531">
        <w:rPr>
          <w:rFonts w:ascii="Arial" w:hAnsi="Arial" w:cs="Arial"/>
          <w:b w:val="0"/>
          <w:sz w:val="24"/>
          <w:szCs w:val="24"/>
          <w:lang w:eastAsia="en-AU"/>
        </w:rPr>
        <w:t xml:space="preserve"> </w:t>
      </w:r>
      <w:r w:rsidRPr="00991531">
        <w:rPr>
          <w:rFonts w:ascii="Arial" w:hAnsi="Arial" w:cs="Arial"/>
          <w:b w:val="0"/>
          <w:sz w:val="24"/>
          <w:szCs w:val="24"/>
          <w:lang w:eastAsia="en-AU"/>
        </w:rPr>
        <w:t>for registration</w:t>
      </w:r>
      <w:r w:rsidRPr="00991531">
        <w:rPr>
          <w:rFonts w:ascii="Arial" w:hAnsi="Arial" w:cs="Arial"/>
          <w:b w:val="0"/>
          <w:sz w:val="24"/>
          <w:szCs w:val="24"/>
        </w:rPr>
        <w:t>.</w:t>
      </w:r>
    </w:p>
    <w:p w14:paraId="6C885119" w14:textId="77777777" w:rsidR="00EF58B8" w:rsidRPr="00A64D84" w:rsidRDefault="00EF58B8" w:rsidP="00BC7F52">
      <w:pPr>
        <w:pStyle w:val="NormalWeb"/>
        <w:keepNext/>
        <w:outlineLvl w:val="4"/>
        <w:rPr>
          <w:rFonts w:ascii="Arial" w:hAnsi="Arial" w:cs="Arial"/>
          <w:b/>
        </w:rPr>
      </w:pPr>
      <w:r w:rsidRPr="00A64D84">
        <w:rPr>
          <w:rFonts w:ascii="Arial" w:hAnsi="Arial" w:cs="Arial"/>
          <w:b/>
        </w:rPr>
        <w:lastRenderedPageBreak/>
        <w:t>What is covered by this system?</w:t>
      </w:r>
    </w:p>
    <w:p w14:paraId="6C88511A" w14:textId="05F398C4" w:rsidR="00EF58B8" w:rsidRDefault="00EF58B8" w:rsidP="00BC7F52">
      <w:pPr>
        <w:pStyle w:val="Heading1"/>
        <w:spacing w:before="100" w:beforeAutospacing="1" w:after="100" w:afterAutospacing="1"/>
        <w:rPr>
          <w:rFonts w:ascii="Arial" w:hAnsi="Arial" w:cs="Arial"/>
          <w:b w:val="0"/>
          <w:sz w:val="24"/>
          <w:szCs w:val="24"/>
        </w:rPr>
      </w:pPr>
      <w:r w:rsidRPr="00991531">
        <w:rPr>
          <w:rFonts w:ascii="Arial" w:hAnsi="Arial" w:cs="Arial"/>
          <w:b w:val="0"/>
          <w:sz w:val="24"/>
          <w:szCs w:val="24"/>
        </w:rPr>
        <w:t>The loan, donation or exchange of specimens must be done without monetary compensation and the specimens must be legally obtained</w:t>
      </w:r>
      <w:r w:rsidR="004A51D6">
        <w:rPr>
          <w:rFonts w:ascii="Arial" w:hAnsi="Arial" w:cs="Arial"/>
          <w:b w:val="0"/>
          <w:sz w:val="24"/>
          <w:szCs w:val="24"/>
        </w:rPr>
        <w:t xml:space="preserve"> and have been accessioned into the organisation’s collection</w:t>
      </w:r>
      <w:r w:rsidRPr="00991531">
        <w:rPr>
          <w:rFonts w:ascii="Arial" w:hAnsi="Arial" w:cs="Arial"/>
          <w:b w:val="0"/>
          <w:sz w:val="24"/>
          <w:szCs w:val="24"/>
        </w:rPr>
        <w:t>.</w:t>
      </w:r>
    </w:p>
    <w:p w14:paraId="23DDA3A7" w14:textId="40371D7A" w:rsidR="004227A9" w:rsidRPr="004227A9" w:rsidRDefault="004227A9" w:rsidP="004227A9">
      <w:pPr>
        <w:rPr>
          <w:rFonts w:ascii="Arial" w:hAnsi="Arial" w:cs="Arial"/>
          <w:sz w:val="24"/>
          <w:szCs w:val="24"/>
        </w:rPr>
      </w:pPr>
      <w:r w:rsidRPr="00CE159C">
        <w:rPr>
          <w:rFonts w:ascii="Arial" w:hAnsi="Arial" w:cs="Arial"/>
          <w:b/>
          <w:bCs/>
          <w:color w:val="C00000"/>
          <w:sz w:val="24"/>
          <w:szCs w:val="24"/>
        </w:rPr>
        <w:t>Before you import goods to Australia</w:t>
      </w:r>
      <w:r w:rsidRPr="00CE159C">
        <w:rPr>
          <w:rFonts w:ascii="Arial" w:hAnsi="Arial" w:cs="Arial"/>
          <w:sz w:val="24"/>
          <w:szCs w:val="24"/>
        </w:rPr>
        <w:t xml:space="preserve">, it is important that you understand your responsibilities as an importer and the import conditions that may apply to your goods. Complying with these requirements can reduce costly delays and help keep biosecurity risks offshore. For more information on how to import goods to Australia, please examine biosecurity requirements at: </w:t>
      </w:r>
      <w:r w:rsidR="003153D5" w:rsidRPr="003153D5">
        <w:t xml:space="preserve"> </w:t>
      </w:r>
      <w:hyperlink r:id="rId12" w:history="1">
        <w:r w:rsidR="003153D5" w:rsidRPr="003153D5">
          <w:rPr>
            <w:rStyle w:val="Hyperlink"/>
            <w:rFonts w:ascii="Arial" w:hAnsi="Arial" w:cs="Arial"/>
            <w:sz w:val="24"/>
            <w:szCs w:val="24"/>
          </w:rPr>
          <w:t>https://www.agriculture.gov.au/import/before</w:t>
        </w:r>
      </w:hyperlink>
      <w:r w:rsidR="003153D5" w:rsidRPr="003153D5">
        <w:rPr>
          <w:rStyle w:val="Hyperlink"/>
          <w:rFonts w:ascii="Arial" w:hAnsi="Arial" w:cs="Arial"/>
          <w:sz w:val="24"/>
          <w:szCs w:val="24"/>
        </w:rPr>
        <w:t>/how-to-import</w:t>
      </w:r>
    </w:p>
    <w:p w14:paraId="6D384C8D" w14:textId="77777777" w:rsidR="004227A9" w:rsidRPr="004227A9" w:rsidRDefault="004227A9" w:rsidP="004227A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7506"/>
      </w:tblGrid>
      <w:tr w:rsidR="00EF58B8" w:rsidRPr="00AA70B8" w14:paraId="6C885121" w14:textId="77777777" w:rsidTr="00EF58B8">
        <w:tc>
          <w:tcPr>
            <w:tcW w:w="1418" w:type="dxa"/>
            <w:tcBorders>
              <w:top w:val="single" w:sz="4" w:space="0" w:color="auto"/>
              <w:left w:val="single" w:sz="4" w:space="0" w:color="auto"/>
              <w:bottom w:val="single" w:sz="4" w:space="0" w:color="auto"/>
              <w:right w:val="single" w:sz="4" w:space="0" w:color="auto"/>
            </w:tcBorders>
          </w:tcPr>
          <w:p w14:paraId="6C88511B" w14:textId="77777777" w:rsidR="00EF58B8" w:rsidRPr="00A64D84" w:rsidRDefault="00EF58B8" w:rsidP="00BC7F52">
            <w:pPr>
              <w:pStyle w:val="Default"/>
              <w:tabs>
                <w:tab w:val="left" w:pos="5917"/>
              </w:tabs>
              <w:spacing w:before="100" w:beforeAutospacing="1" w:after="100" w:afterAutospacing="1"/>
              <w:rPr>
                <w:b/>
                <w:bCs/>
                <w:sz w:val="20"/>
                <w:szCs w:val="20"/>
              </w:rPr>
            </w:pPr>
            <w:r w:rsidRPr="00A64D84">
              <w:rPr>
                <w:b/>
                <w:bCs/>
                <w:sz w:val="20"/>
                <w:szCs w:val="20"/>
              </w:rPr>
              <w:t>Specimens that are covered:</w:t>
            </w:r>
          </w:p>
        </w:tc>
        <w:tc>
          <w:tcPr>
            <w:tcW w:w="8221" w:type="dxa"/>
            <w:tcBorders>
              <w:top w:val="single" w:sz="4" w:space="0" w:color="auto"/>
              <w:left w:val="single" w:sz="4" w:space="0" w:color="auto"/>
              <w:bottom w:val="single" w:sz="4" w:space="0" w:color="auto"/>
              <w:right w:val="single" w:sz="4" w:space="0" w:color="auto"/>
            </w:tcBorders>
          </w:tcPr>
          <w:p w14:paraId="6C88511C" w14:textId="77777777" w:rsidR="00EF58B8" w:rsidRPr="00A64D84" w:rsidRDefault="00EF58B8" w:rsidP="00BC7F52">
            <w:pPr>
              <w:pStyle w:val="Default"/>
              <w:numPr>
                <w:ilvl w:val="0"/>
                <w:numId w:val="34"/>
              </w:numPr>
              <w:tabs>
                <w:tab w:val="clear" w:pos="441"/>
                <w:tab w:val="num" w:pos="317"/>
              </w:tabs>
              <w:spacing w:before="100" w:beforeAutospacing="1" w:after="100" w:afterAutospacing="1"/>
              <w:ind w:left="317" w:hanging="283"/>
              <w:jc w:val="both"/>
              <w:rPr>
                <w:sz w:val="20"/>
                <w:szCs w:val="20"/>
              </w:rPr>
            </w:pPr>
            <w:r w:rsidRPr="00A64D84">
              <w:rPr>
                <w:sz w:val="20"/>
                <w:szCs w:val="20"/>
              </w:rPr>
              <w:t>herbarium specimens (e.g. dried or pressed plants and flowers).</w:t>
            </w:r>
          </w:p>
          <w:p w14:paraId="6C88511D" w14:textId="77777777" w:rsidR="00EF58B8" w:rsidRPr="00A64D84" w:rsidRDefault="00EF58B8" w:rsidP="00BC7F52">
            <w:pPr>
              <w:pStyle w:val="Default"/>
              <w:numPr>
                <w:ilvl w:val="0"/>
                <w:numId w:val="34"/>
              </w:numPr>
              <w:tabs>
                <w:tab w:val="clear" w:pos="441"/>
                <w:tab w:val="num" w:pos="317"/>
              </w:tabs>
              <w:spacing w:before="100" w:beforeAutospacing="1" w:after="100" w:afterAutospacing="1"/>
              <w:ind w:left="317" w:hanging="283"/>
              <w:jc w:val="both"/>
              <w:rPr>
                <w:sz w:val="20"/>
                <w:szCs w:val="20"/>
              </w:rPr>
            </w:pPr>
            <w:r w:rsidRPr="00A64D84">
              <w:rPr>
                <w:sz w:val="20"/>
                <w:szCs w:val="20"/>
              </w:rPr>
              <w:t>preserved, dried or embedded specimens (e.g. microscope slides or specimens preserved in alcohol, taxidermy specimens, or tanned skins).</w:t>
            </w:r>
          </w:p>
          <w:p w14:paraId="6C88511E" w14:textId="77777777" w:rsidR="00EF58B8" w:rsidRPr="00A64D84" w:rsidRDefault="00EF58B8" w:rsidP="00BC7F52">
            <w:pPr>
              <w:pStyle w:val="Default"/>
              <w:numPr>
                <w:ilvl w:val="0"/>
                <w:numId w:val="34"/>
              </w:numPr>
              <w:tabs>
                <w:tab w:val="clear" w:pos="441"/>
                <w:tab w:val="num" w:pos="317"/>
              </w:tabs>
              <w:spacing w:before="100" w:beforeAutospacing="1" w:after="100" w:afterAutospacing="1"/>
              <w:ind w:left="317" w:hanging="283"/>
              <w:jc w:val="both"/>
              <w:rPr>
                <w:sz w:val="20"/>
                <w:szCs w:val="20"/>
              </w:rPr>
            </w:pPr>
            <w:r w:rsidRPr="00A64D84">
              <w:rPr>
                <w:sz w:val="20"/>
                <w:szCs w:val="20"/>
              </w:rPr>
              <w:t>frozen specimens (e.g. frozen tissue samples).</w:t>
            </w:r>
          </w:p>
          <w:p w14:paraId="6C88511F" w14:textId="585ABB8D" w:rsidR="00EF58B8" w:rsidRPr="00A64D84" w:rsidRDefault="00EF58B8" w:rsidP="00BC7F52">
            <w:pPr>
              <w:pStyle w:val="Default"/>
              <w:numPr>
                <w:ilvl w:val="0"/>
                <w:numId w:val="34"/>
              </w:numPr>
              <w:tabs>
                <w:tab w:val="clear" w:pos="441"/>
                <w:tab w:val="num" w:pos="317"/>
              </w:tabs>
              <w:spacing w:before="100" w:beforeAutospacing="1" w:after="100" w:afterAutospacing="1"/>
              <w:ind w:left="317" w:hanging="283"/>
              <w:jc w:val="both"/>
              <w:rPr>
                <w:sz w:val="20"/>
                <w:szCs w:val="20"/>
              </w:rPr>
            </w:pPr>
            <w:r w:rsidRPr="00A64D84">
              <w:rPr>
                <w:sz w:val="20"/>
                <w:szCs w:val="20"/>
              </w:rPr>
              <w:t xml:space="preserve">live plant </w:t>
            </w:r>
            <w:bookmarkStart w:id="0" w:name="_GoBack"/>
            <w:bookmarkEnd w:id="0"/>
            <w:r w:rsidRPr="00B4524C">
              <w:rPr>
                <w:sz w:val="20"/>
                <w:szCs w:val="20"/>
              </w:rPr>
              <w:t>material.</w:t>
            </w:r>
          </w:p>
          <w:p w14:paraId="6A308161" w14:textId="77777777" w:rsidR="00EF58B8" w:rsidRPr="004227A9" w:rsidRDefault="00EF58B8" w:rsidP="00BC7F52">
            <w:pPr>
              <w:pStyle w:val="Default"/>
              <w:numPr>
                <w:ilvl w:val="0"/>
                <w:numId w:val="34"/>
              </w:numPr>
              <w:tabs>
                <w:tab w:val="clear" w:pos="441"/>
                <w:tab w:val="num" w:pos="317"/>
              </w:tabs>
              <w:spacing w:before="100" w:beforeAutospacing="1" w:after="100" w:afterAutospacing="1"/>
              <w:ind w:left="317" w:hanging="283"/>
              <w:jc w:val="both"/>
              <w:rPr>
                <w:sz w:val="20"/>
                <w:szCs w:val="20"/>
              </w:rPr>
            </w:pPr>
            <w:r w:rsidRPr="00A64D84">
              <w:rPr>
                <w:sz w:val="20"/>
                <w:szCs w:val="20"/>
              </w:rPr>
              <w:t xml:space="preserve">animal DNA derived from preserved, dried or embedded museum specimens or plant DNA derived from live plants, herbarium specimens or preserved, dried or </w:t>
            </w:r>
            <w:r w:rsidRPr="004227A9">
              <w:rPr>
                <w:sz w:val="20"/>
                <w:szCs w:val="20"/>
              </w:rPr>
              <w:t>embedded museum specimens.</w:t>
            </w:r>
          </w:p>
          <w:p w14:paraId="4FC62F0D" w14:textId="72C268B6" w:rsidR="004F2CB9" w:rsidRPr="004227A9" w:rsidRDefault="0052768C" w:rsidP="00BC7F52">
            <w:pPr>
              <w:pStyle w:val="Default"/>
              <w:numPr>
                <w:ilvl w:val="0"/>
                <w:numId w:val="34"/>
              </w:numPr>
              <w:tabs>
                <w:tab w:val="clear" w:pos="441"/>
                <w:tab w:val="num" w:pos="317"/>
              </w:tabs>
              <w:spacing w:before="100" w:beforeAutospacing="1" w:after="100" w:afterAutospacing="1"/>
              <w:ind w:left="317" w:hanging="283"/>
              <w:jc w:val="both"/>
              <w:rPr>
                <w:sz w:val="20"/>
                <w:szCs w:val="20"/>
              </w:rPr>
            </w:pPr>
            <w:r>
              <w:rPr>
                <w:sz w:val="20"/>
                <w:szCs w:val="20"/>
              </w:rPr>
              <w:t>w</w:t>
            </w:r>
            <w:r w:rsidR="004F2CB9" w:rsidRPr="004227A9">
              <w:rPr>
                <w:sz w:val="20"/>
                <w:szCs w:val="20"/>
              </w:rPr>
              <w:t xml:space="preserve">ildlife forensic research specimens [of the types included in </w:t>
            </w:r>
            <w:hyperlink r:id="rId13" w:history="1">
              <w:r w:rsidR="004F2CB9" w:rsidRPr="004227A9">
                <w:rPr>
                  <w:rStyle w:val="Hyperlink"/>
                  <w:sz w:val="20"/>
                  <w:szCs w:val="20"/>
                </w:rPr>
                <w:t>annex 1 of Res. Conf. 11.15 (Rev. CoP18)</w:t>
              </w:r>
            </w:hyperlink>
            <w:r w:rsidR="004F2CB9" w:rsidRPr="004227A9">
              <w:rPr>
                <w:sz w:val="20"/>
                <w:szCs w:val="20"/>
              </w:rPr>
              <w:t>].</w:t>
            </w:r>
          </w:p>
          <w:p w14:paraId="6C885120" w14:textId="2737F8BE" w:rsidR="004F2CB9" w:rsidRPr="00A64D84" w:rsidRDefault="0052768C" w:rsidP="00BC7F52">
            <w:pPr>
              <w:pStyle w:val="Default"/>
              <w:numPr>
                <w:ilvl w:val="0"/>
                <w:numId w:val="34"/>
              </w:numPr>
              <w:tabs>
                <w:tab w:val="clear" w:pos="441"/>
                <w:tab w:val="num" w:pos="317"/>
              </w:tabs>
              <w:spacing w:before="100" w:beforeAutospacing="1" w:after="100" w:afterAutospacing="1"/>
              <w:ind w:left="317" w:hanging="283"/>
              <w:jc w:val="both"/>
              <w:rPr>
                <w:sz w:val="20"/>
                <w:szCs w:val="20"/>
              </w:rPr>
            </w:pPr>
            <w:r>
              <w:rPr>
                <w:sz w:val="20"/>
                <w:szCs w:val="20"/>
              </w:rPr>
              <w:t>d</w:t>
            </w:r>
            <w:r w:rsidR="004F2CB9" w:rsidRPr="004227A9">
              <w:rPr>
                <w:sz w:val="20"/>
                <w:szCs w:val="20"/>
              </w:rPr>
              <w:t xml:space="preserve">iagnostic samples of the type listed in </w:t>
            </w:r>
            <w:hyperlink r:id="rId14" w:history="1">
              <w:r w:rsidR="004F2CB9" w:rsidRPr="004227A9">
                <w:rPr>
                  <w:rStyle w:val="Hyperlink"/>
                  <w:sz w:val="20"/>
                  <w:szCs w:val="20"/>
                </w:rPr>
                <w:t>annex 4 of Res. Conf. 12.3 (Rev. CoP18)</w:t>
              </w:r>
            </w:hyperlink>
            <w:r w:rsidR="004F2CB9" w:rsidRPr="004227A9">
              <w:rPr>
                <w:sz w:val="20"/>
                <w:szCs w:val="20"/>
              </w:rPr>
              <w:t>.</w:t>
            </w:r>
          </w:p>
        </w:tc>
      </w:tr>
      <w:tr w:rsidR="00EF58B8" w:rsidRPr="00AA70B8" w14:paraId="6C885125" w14:textId="77777777" w:rsidTr="00EF58B8">
        <w:tc>
          <w:tcPr>
            <w:tcW w:w="1418" w:type="dxa"/>
            <w:tcBorders>
              <w:top w:val="single" w:sz="4" w:space="0" w:color="auto"/>
              <w:left w:val="single" w:sz="4" w:space="0" w:color="auto"/>
              <w:bottom w:val="single" w:sz="4" w:space="0" w:color="auto"/>
              <w:right w:val="single" w:sz="4" w:space="0" w:color="auto"/>
            </w:tcBorders>
          </w:tcPr>
          <w:p w14:paraId="6C885122" w14:textId="77777777" w:rsidR="00EF58B8" w:rsidRPr="00A64D84" w:rsidRDefault="00EF58B8" w:rsidP="00BC7F52">
            <w:pPr>
              <w:pStyle w:val="Default"/>
              <w:tabs>
                <w:tab w:val="left" w:pos="5917"/>
              </w:tabs>
              <w:spacing w:before="100" w:beforeAutospacing="1" w:after="100" w:afterAutospacing="1"/>
              <w:rPr>
                <w:b/>
                <w:bCs/>
                <w:sz w:val="20"/>
                <w:szCs w:val="20"/>
              </w:rPr>
            </w:pPr>
            <w:r w:rsidRPr="00A64D84">
              <w:rPr>
                <w:b/>
                <w:bCs/>
                <w:sz w:val="20"/>
                <w:szCs w:val="20"/>
              </w:rPr>
              <w:t>Specimens that are not covered:</w:t>
            </w:r>
          </w:p>
        </w:tc>
        <w:tc>
          <w:tcPr>
            <w:tcW w:w="8221" w:type="dxa"/>
            <w:tcBorders>
              <w:top w:val="single" w:sz="4" w:space="0" w:color="auto"/>
              <w:left w:val="single" w:sz="4" w:space="0" w:color="auto"/>
              <w:bottom w:val="single" w:sz="4" w:space="0" w:color="auto"/>
              <w:right w:val="single" w:sz="4" w:space="0" w:color="auto"/>
            </w:tcBorders>
          </w:tcPr>
          <w:p w14:paraId="6C885123" w14:textId="77777777" w:rsidR="00EF58B8" w:rsidRPr="00A64D84" w:rsidRDefault="00EF58B8" w:rsidP="00BC7F52">
            <w:pPr>
              <w:pStyle w:val="Default"/>
              <w:numPr>
                <w:ilvl w:val="0"/>
                <w:numId w:val="34"/>
              </w:numPr>
              <w:tabs>
                <w:tab w:val="clear" w:pos="441"/>
                <w:tab w:val="num" w:pos="317"/>
              </w:tabs>
              <w:spacing w:before="100" w:beforeAutospacing="1" w:after="100" w:afterAutospacing="1"/>
              <w:ind w:left="317" w:hanging="283"/>
              <w:jc w:val="both"/>
              <w:rPr>
                <w:rStyle w:val="Strong"/>
                <w:b w:val="0"/>
                <w:bCs w:val="0"/>
                <w:color w:val="auto"/>
                <w:sz w:val="20"/>
                <w:szCs w:val="20"/>
              </w:rPr>
            </w:pPr>
            <w:r w:rsidRPr="00A64D84">
              <w:rPr>
                <w:rStyle w:val="Strong"/>
                <w:b w:val="0"/>
                <w:color w:val="auto"/>
                <w:sz w:val="20"/>
                <w:szCs w:val="20"/>
              </w:rPr>
              <w:t>live animals.</w:t>
            </w:r>
          </w:p>
          <w:p w14:paraId="1A73F8A9" w14:textId="77777777" w:rsidR="00EF58B8" w:rsidRDefault="00EF58B8" w:rsidP="00BC7F52">
            <w:pPr>
              <w:pStyle w:val="Default"/>
              <w:numPr>
                <w:ilvl w:val="0"/>
                <w:numId w:val="34"/>
              </w:numPr>
              <w:tabs>
                <w:tab w:val="clear" w:pos="441"/>
                <w:tab w:val="num" w:pos="317"/>
              </w:tabs>
              <w:spacing w:before="100" w:beforeAutospacing="1" w:after="100" w:afterAutospacing="1"/>
              <w:ind w:left="317" w:hanging="283"/>
              <w:jc w:val="both"/>
              <w:rPr>
                <w:sz w:val="20"/>
                <w:szCs w:val="20"/>
              </w:rPr>
            </w:pPr>
            <w:r w:rsidRPr="00A64D84">
              <w:rPr>
                <w:sz w:val="20"/>
                <w:szCs w:val="20"/>
              </w:rPr>
              <w:t xml:space="preserve">any specimens that </w:t>
            </w:r>
            <w:r w:rsidRPr="00A64D84">
              <w:rPr>
                <w:i/>
                <w:sz w:val="20"/>
                <w:szCs w:val="20"/>
              </w:rPr>
              <w:t>are not</w:t>
            </w:r>
            <w:r w:rsidRPr="00A64D84">
              <w:rPr>
                <w:sz w:val="20"/>
                <w:szCs w:val="20"/>
              </w:rPr>
              <w:t xml:space="preserve"> first accessioned into the collection of a registered institution (e.g.: </w:t>
            </w:r>
            <w:r w:rsidRPr="00A64D84">
              <w:rPr>
                <w:rStyle w:val="Strong"/>
                <w:b w:val="0"/>
                <w:color w:val="auto"/>
                <w:sz w:val="20"/>
                <w:szCs w:val="20"/>
              </w:rPr>
              <w:t xml:space="preserve">fresh blood, sera or semen samples, or </w:t>
            </w:r>
            <w:r w:rsidRPr="00A64D84">
              <w:rPr>
                <w:sz w:val="20"/>
                <w:szCs w:val="20"/>
              </w:rPr>
              <w:t>specimens collected by field researchers).</w:t>
            </w:r>
          </w:p>
          <w:p w14:paraId="6C885124" w14:textId="294E56C9" w:rsidR="004F2CB9" w:rsidRPr="00A64D84" w:rsidRDefault="0052768C" w:rsidP="00BC7F52">
            <w:pPr>
              <w:pStyle w:val="Default"/>
              <w:numPr>
                <w:ilvl w:val="0"/>
                <w:numId w:val="34"/>
              </w:numPr>
              <w:tabs>
                <w:tab w:val="clear" w:pos="441"/>
                <w:tab w:val="num" w:pos="317"/>
              </w:tabs>
              <w:spacing w:before="100" w:beforeAutospacing="1" w:after="100" w:afterAutospacing="1"/>
              <w:ind w:left="317" w:hanging="283"/>
              <w:jc w:val="both"/>
              <w:rPr>
                <w:sz w:val="20"/>
                <w:szCs w:val="20"/>
              </w:rPr>
            </w:pPr>
            <w:r>
              <w:rPr>
                <w:sz w:val="20"/>
                <w:szCs w:val="20"/>
              </w:rPr>
              <w:t>w</w:t>
            </w:r>
            <w:r w:rsidR="004F2CB9" w:rsidRPr="004227A9">
              <w:rPr>
                <w:sz w:val="20"/>
                <w:szCs w:val="20"/>
              </w:rPr>
              <w:t>ildlife enforcement specimens for the purpose of assisting in an ongoing criminal investigation.</w:t>
            </w:r>
          </w:p>
        </w:tc>
      </w:tr>
    </w:tbl>
    <w:p w14:paraId="6C885126" w14:textId="77777777" w:rsidR="00EF58B8" w:rsidRPr="00A64D84" w:rsidRDefault="00EF58B8" w:rsidP="00BC7F52">
      <w:pPr>
        <w:pStyle w:val="Heading5"/>
        <w:keepNext w:val="0"/>
        <w:widowControl w:val="0"/>
        <w:spacing w:before="100" w:beforeAutospacing="1" w:after="100" w:afterAutospacing="1"/>
        <w:rPr>
          <w:rFonts w:ascii="Arial" w:hAnsi="Arial" w:cs="Arial"/>
          <w:szCs w:val="24"/>
        </w:rPr>
      </w:pPr>
      <w:r w:rsidRPr="00A64D84">
        <w:rPr>
          <w:rFonts w:ascii="Arial" w:hAnsi="Arial" w:cs="Arial"/>
          <w:szCs w:val="24"/>
        </w:rPr>
        <w:t>HOW TO EXCHANGE SPECIMENS</w:t>
      </w:r>
    </w:p>
    <w:p w14:paraId="6C885127" w14:textId="77777777" w:rsidR="00EF58B8" w:rsidRPr="00A64D84" w:rsidRDefault="00EF58B8" w:rsidP="00BC7F52">
      <w:pPr>
        <w:pStyle w:val="Heading3"/>
        <w:spacing w:before="100" w:beforeAutospacing="1" w:after="100" w:afterAutospacing="1"/>
        <w:rPr>
          <w:rFonts w:ascii="Arial" w:hAnsi="Arial" w:cs="Arial"/>
          <w:sz w:val="24"/>
          <w:szCs w:val="24"/>
        </w:rPr>
      </w:pPr>
      <w:r w:rsidRPr="00A64D84">
        <w:rPr>
          <w:rFonts w:ascii="Arial" w:hAnsi="Arial" w:cs="Arial"/>
          <w:sz w:val="24"/>
          <w:szCs w:val="24"/>
        </w:rPr>
        <w:t>Export</w:t>
      </w:r>
    </w:p>
    <w:p w14:paraId="6C885128" w14:textId="77777777" w:rsidR="00EF58B8" w:rsidRPr="00A64D84" w:rsidRDefault="00EF58B8" w:rsidP="00BC7F52">
      <w:pPr>
        <w:pStyle w:val="NormalWeb"/>
        <w:widowControl w:val="0"/>
        <w:outlineLvl w:val="1"/>
        <w:rPr>
          <w:rFonts w:ascii="Arial" w:hAnsi="Arial" w:cs="Arial"/>
        </w:rPr>
      </w:pPr>
      <w:r w:rsidRPr="00A64D84">
        <w:rPr>
          <w:rFonts w:ascii="Arial" w:hAnsi="Arial" w:cs="Arial"/>
          <w:lang w:eastAsia="en-US"/>
        </w:rPr>
        <w:t>When registration is approved, each Australian institution is issued with an official scientific exchange label template individually created for that institution. This template allows registered institutions to print their own labels as required. There are two versions of the templates—one for CITES specimens and one for Australian native non-CITES specimens. For export from Australia, the package containing the specimen must have a scientific exchange label attached that shows</w:t>
      </w:r>
      <w:r w:rsidRPr="00A64D84">
        <w:rPr>
          <w:rFonts w:ascii="Arial" w:hAnsi="Arial" w:cs="Arial"/>
        </w:rPr>
        <w:t>:</w:t>
      </w:r>
    </w:p>
    <w:p w14:paraId="6C885129" w14:textId="77777777" w:rsidR="00EF58B8" w:rsidRPr="00A64D84" w:rsidRDefault="00EF58B8" w:rsidP="00BC7F52">
      <w:pPr>
        <w:pStyle w:val="ListBullet"/>
        <w:widowControl w:val="0"/>
        <w:numPr>
          <w:ilvl w:val="0"/>
          <w:numId w:val="30"/>
        </w:numPr>
        <w:tabs>
          <w:tab w:val="clear" w:pos="360"/>
          <w:tab w:val="clear" w:pos="432"/>
          <w:tab w:val="left" w:pos="720"/>
          <w:tab w:val="num" w:pos="1653"/>
        </w:tabs>
        <w:spacing w:before="100" w:beforeAutospacing="1" w:after="100" w:afterAutospacing="1"/>
        <w:ind w:left="900" w:hanging="540"/>
        <w:contextualSpacing w:val="0"/>
        <w:jc w:val="both"/>
        <w:rPr>
          <w:rFonts w:ascii="Arial" w:hAnsi="Arial" w:cs="Arial"/>
          <w:szCs w:val="24"/>
        </w:rPr>
      </w:pPr>
      <w:r w:rsidRPr="00A64D84">
        <w:rPr>
          <w:rFonts w:ascii="Arial" w:hAnsi="Arial" w:cs="Arial"/>
          <w:szCs w:val="24"/>
        </w:rPr>
        <w:t>the scientific and common name of the specimen</w:t>
      </w:r>
    </w:p>
    <w:p w14:paraId="6C88512A" w14:textId="77777777" w:rsidR="00EF58B8" w:rsidRPr="00A64D84" w:rsidRDefault="00EF58B8" w:rsidP="00BC7F52">
      <w:pPr>
        <w:widowControl w:val="0"/>
        <w:numPr>
          <w:ilvl w:val="0"/>
          <w:numId w:val="30"/>
        </w:numPr>
        <w:tabs>
          <w:tab w:val="clear" w:pos="360"/>
          <w:tab w:val="left" w:pos="720"/>
          <w:tab w:val="num" w:pos="1653"/>
          <w:tab w:val="left" w:pos="2835"/>
        </w:tabs>
        <w:spacing w:before="100" w:beforeAutospacing="1" w:after="100" w:afterAutospacing="1"/>
        <w:ind w:left="900" w:hanging="540"/>
        <w:jc w:val="both"/>
        <w:rPr>
          <w:rFonts w:ascii="Arial" w:hAnsi="Arial" w:cs="Arial"/>
          <w:sz w:val="24"/>
          <w:szCs w:val="24"/>
        </w:rPr>
      </w:pPr>
      <w:r w:rsidRPr="00A64D84">
        <w:rPr>
          <w:rFonts w:ascii="Arial" w:hAnsi="Arial" w:cs="Arial"/>
          <w:sz w:val="24"/>
          <w:szCs w:val="24"/>
        </w:rPr>
        <w:t>the quantity and a short description of the specimen</w:t>
      </w:r>
    </w:p>
    <w:p w14:paraId="6C88512B" w14:textId="77777777" w:rsidR="00EF58B8" w:rsidRPr="00A64D84" w:rsidRDefault="00EF58B8" w:rsidP="00BC7F52">
      <w:pPr>
        <w:pStyle w:val="msonormalcxspmiddle"/>
        <w:widowControl w:val="0"/>
        <w:numPr>
          <w:ilvl w:val="0"/>
          <w:numId w:val="30"/>
        </w:numPr>
        <w:tabs>
          <w:tab w:val="clear" w:pos="360"/>
          <w:tab w:val="left" w:pos="720"/>
          <w:tab w:val="num" w:pos="1653"/>
          <w:tab w:val="left" w:pos="2835"/>
        </w:tabs>
        <w:ind w:left="900" w:hanging="540"/>
        <w:jc w:val="both"/>
        <w:rPr>
          <w:rFonts w:ascii="Arial" w:hAnsi="Arial" w:cs="Arial"/>
        </w:rPr>
      </w:pPr>
      <w:r w:rsidRPr="00A64D84">
        <w:rPr>
          <w:rFonts w:ascii="Arial" w:hAnsi="Arial" w:cs="Arial"/>
        </w:rPr>
        <w:t>the Australian institution’s name and registration code number</w:t>
      </w:r>
    </w:p>
    <w:p w14:paraId="6C88512C" w14:textId="1EEBF39C" w:rsidR="00EF58B8" w:rsidRDefault="00EF58B8" w:rsidP="00BC7F52">
      <w:pPr>
        <w:pStyle w:val="msonormalcxsplast"/>
        <w:widowControl w:val="0"/>
        <w:numPr>
          <w:ilvl w:val="0"/>
          <w:numId w:val="30"/>
        </w:numPr>
        <w:tabs>
          <w:tab w:val="clear" w:pos="360"/>
          <w:tab w:val="left" w:pos="720"/>
          <w:tab w:val="num" w:pos="1653"/>
          <w:tab w:val="left" w:pos="2835"/>
        </w:tabs>
        <w:ind w:left="900" w:hanging="540"/>
        <w:jc w:val="both"/>
        <w:rPr>
          <w:rFonts w:ascii="Arial" w:hAnsi="Arial" w:cs="Arial"/>
        </w:rPr>
      </w:pPr>
      <w:r w:rsidRPr="00A64D84">
        <w:rPr>
          <w:rFonts w:ascii="Arial" w:hAnsi="Arial" w:cs="Arial"/>
        </w:rPr>
        <w:t>the receiving institution’s name and registration code number</w:t>
      </w:r>
    </w:p>
    <w:p w14:paraId="5CED6B2E" w14:textId="21F6A832" w:rsidR="004A51D6" w:rsidRPr="00A64D84" w:rsidRDefault="004A51D6" w:rsidP="00BC7F52">
      <w:pPr>
        <w:pStyle w:val="msonormalcxsplast"/>
        <w:widowControl w:val="0"/>
        <w:numPr>
          <w:ilvl w:val="0"/>
          <w:numId w:val="30"/>
        </w:numPr>
        <w:tabs>
          <w:tab w:val="clear" w:pos="360"/>
          <w:tab w:val="left" w:pos="720"/>
          <w:tab w:val="num" w:pos="1653"/>
          <w:tab w:val="left" w:pos="2835"/>
        </w:tabs>
        <w:ind w:left="900" w:hanging="540"/>
        <w:jc w:val="both"/>
        <w:rPr>
          <w:rFonts w:ascii="Arial" w:hAnsi="Arial" w:cs="Arial"/>
        </w:rPr>
      </w:pPr>
      <w:r>
        <w:rPr>
          <w:rFonts w:ascii="Arial" w:hAnsi="Arial" w:cs="Arial"/>
        </w:rPr>
        <w:t>the specimen’s registration number from the organisation</w:t>
      </w:r>
      <w:r w:rsidR="001A0B87">
        <w:rPr>
          <w:rFonts w:ascii="Arial" w:hAnsi="Arial" w:cs="Arial"/>
        </w:rPr>
        <w:t>’</w:t>
      </w:r>
      <w:r>
        <w:rPr>
          <w:rFonts w:ascii="Arial" w:hAnsi="Arial" w:cs="Arial"/>
        </w:rPr>
        <w:t>s collection register</w:t>
      </w:r>
    </w:p>
    <w:p w14:paraId="6C88512D" w14:textId="45D4B14C" w:rsidR="00EF58B8" w:rsidRPr="00A64D84" w:rsidRDefault="00EF58B8" w:rsidP="00BC7F52">
      <w:pPr>
        <w:pStyle w:val="ListBullet2"/>
        <w:widowControl w:val="0"/>
        <w:numPr>
          <w:ilvl w:val="0"/>
          <w:numId w:val="30"/>
        </w:numPr>
        <w:tabs>
          <w:tab w:val="clear" w:pos="360"/>
          <w:tab w:val="num" w:pos="720"/>
          <w:tab w:val="num" w:pos="1653"/>
        </w:tabs>
        <w:spacing w:before="100" w:beforeAutospacing="1" w:after="100" w:afterAutospacing="1"/>
        <w:ind w:left="720"/>
        <w:jc w:val="both"/>
        <w:rPr>
          <w:rFonts w:ascii="Arial" w:hAnsi="Arial" w:cs="Arial"/>
          <w:sz w:val="24"/>
          <w:szCs w:val="24"/>
        </w:rPr>
      </w:pPr>
      <w:r w:rsidRPr="00A64D84">
        <w:rPr>
          <w:rFonts w:ascii="Arial" w:hAnsi="Arial" w:cs="Arial"/>
          <w:sz w:val="24"/>
          <w:szCs w:val="24"/>
        </w:rPr>
        <w:t>the date on which the package was sealed</w:t>
      </w:r>
    </w:p>
    <w:p w14:paraId="6C88512E" w14:textId="50932958" w:rsidR="00EF58B8" w:rsidRPr="00A64D84" w:rsidRDefault="00EF58B8" w:rsidP="00BC7F52">
      <w:pPr>
        <w:pStyle w:val="ListBullet2"/>
        <w:widowControl w:val="0"/>
        <w:numPr>
          <w:ilvl w:val="0"/>
          <w:numId w:val="30"/>
        </w:numPr>
        <w:tabs>
          <w:tab w:val="clear" w:pos="360"/>
          <w:tab w:val="num" w:pos="720"/>
          <w:tab w:val="num" w:pos="1653"/>
        </w:tabs>
        <w:spacing w:before="100" w:beforeAutospacing="1" w:after="100" w:afterAutospacing="1"/>
        <w:ind w:left="720"/>
        <w:jc w:val="both"/>
        <w:rPr>
          <w:rFonts w:ascii="Arial" w:hAnsi="Arial" w:cs="Arial"/>
          <w:sz w:val="24"/>
          <w:szCs w:val="24"/>
        </w:rPr>
      </w:pPr>
      <w:r w:rsidRPr="00A64D84">
        <w:rPr>
          <w:rFonts w:ascii="Arial" w:hAnsi="Arial" w:cs="Arial"/>
          <w:sz w:val="24"/>
          <w:szCs w:val="24"/>
        </w:rPr>
        <w:t xml:space="preserve">the name and signature of the person authorised </w:t>
      </w:r>
      <w:r w:rsidR="001A0B87">
        <w:rPr>
          <w:rFonts w:ascii="Arial" w:hAnsi="Arial" w:cs="Arial"/>
          <w:sz w:val="24"/>
          <w:szCs w:val="24"/>
        </w:rPr>
        <w:t xml:space="preserve">through registration </w:t>
      </w:r>
      <w:r w:rsidRPr="00A64D84">
        <w:rPr>
          <w:rFonts w:ascii="Arial" w:hAnsi="Arial" w:cs="Arial"/>
          <w:sz w:val="24"/>
          <w:szCs w:val="24"/>
        </w:rPr>
        <w:t xml:space="preserve">to </w:t>
      </w:r>
      <w:r w:rsidRPr="00A64D84">
        <w:rPr>
          <w:rFonts w:ascii="Arial" w:hAnsi="Arial" w:cs="Arial"/>
          <w:sz w:val="24"/>
          <w:szCs w:val="24"/>
        </w:rPr>
        <w:lastRenderedPageBreak/>
        <w:t>exchange specimens and the designation or title of that person.</w:t>
      </w:r>
    </w:p>
    <w:p w14:paraId="6C88512F" w14:textId="77777777" w:rsidR="00EF58B8" w:rsidRPr="00A64D84" w:rsidRDefault="00EF58B8" w:rsidP="00BC7F52">
      <w:pPr>
        <w:pStyle w:val="ListBullet"/>
        <w:widowControl w:val="0"/>
        <w:numPr>
          <w:ilvl w:val="0"/>
          <w:numId w:val="30"/>
        </w:numPr>
        <w:tabs>
          <w:tab w:val="clear" w:pos="360"/>
          <w:tab w:val="clear" w:pos="432"/>
          <w:tab w:val="num" w:pos="720"/>
        </w:tabs>
        <w:spacing w:before="100" w:beforeAutospacing="1" w:after="100" w:afterAutospacing="1"/>
        <w:ind w:left="720"/>
        <w:contextualSpacing w:val="0"/>
        <w:jc w:val="both"/>
        <w:rPr>
          <w:rFonts w:ascii="Arial" w:hAnsi="Arial" w:cs="Arial"/>
          <w:szCs w:val="24"/>
        </w:rPr>
      </w:pPr>
      <w:r w:rsidRPr="00A64D84">
        <w:rPr>
          <w:rFonts w:ascii="Arial" w:hAnsi="Arial" w:cs="Arial"/>
          <w:szCs w:val="24"/>
        </w:rPr>
        <w:t>for a CITES specimen:</w:t>
      </w:r>
    </w:p>
    <w:p w14:paraId="6C885130" w14:textId="77777777" w:rsidR="00EF58B8" w:rsidRPr="00A64D84" w:rsidRDefault="00EF58B8" w:rsidP="00BC7F52">
      <w:pPr>
        <w:pStyle w:val="ListBullet2"/>
        <w:widowControl w:val="0"/>
        <w:numPr>
          <w:ilvl w:val="0"/>
          <w:numId w:val="35"/>
        </w:numPr>
        <w:spacing w:before="100" w:beforeAutospacing="1" w:after="100" w:afterAutospacing="1"/>
        <w:ind w:left="1077" w:hanging="357"/>
        <w:jc w:val="both"/>
        <w:rPr>
          <w:rFonts w:ascii="Arial" w:hAnsi="Arial" w:cs="Arial"/>
          <w:sz w:val="24"/>
          <w:szCs w:val="24"/>
        </w:rPr>
      </w:pPr>
      <w:r w:rsidRPr="00A64D84">
        <w:rPr>
          <w:rFonts w:ascii="Arial" w:hAnsi="Arial" w:cs="Arial"/>
          <w:sz w:val="24"/>
          <w:szCs w:val="24"/>
        </w:rPr>
        <w:t>the Appendix to CITES in which the species is listed.</w:t>
      </w:r>
    </w:p>
    <w:p w14:paraId="6C885132" w14:textId="0BA297A4" w:rsidR="00EF58B8" w:rsidRPr="00A64D84" w:rsidRDefault="00EF58B8" w:rsidP="00BC7F52">
      <w:pPr>
        <w:pStyle w:val="NormalWeb"/>
        <w:keepNext/>
        <w:outlineLvl w:val="1"/>
        <w:rPr>
          <w:rFonts w:ascii="Arial" w:hAnsi="Arial" w:cs="Arial"/>
        </w:rPr>
      </w:pPr>
      <w:r w:rsidRPr="00A64D84">
        <w:rPr>
          <w:rFonts w:ascii="Arial" w:hAnsi="Arial" w:cs="Arial"/>
        </w:rPr>
        <w:t xml:space="preserve">The labels do not replace the requirement </w:t>
      </w:r>
      <w:r w:rsidRPr="00991531">
        <w:rPr>
          <w:rFonts w:ascii="Arial" w:hAnsi="Arial" w:cs="Arial"/>
        </w:rPr>
        <w:t>to affix the appropriate</w:t>
      </w:r>
      <w:r w:rsidRPr="00A64D84">
        <w:rPr>
          <w:rFonts w:ascii="Arial" w:hAnsi="Arial" w:cs="Arial"/>
        </w:rPr>
        <w:t xml:space="preserve"> Customs Declaration form</w:t>
      </w:r>
      <w:r w:rsidRPr="00991531">
        <w:rPr>
          <w:rFonts w:ascii="Arial" w:hAnsi="Arial" w:cs="Arial"/>
        </w:rPr>
        <w:t>s</w:t>
      </w:r>
      <w:r w:rsidRPr="00A64D84">
        <w:rPr>
          <w:rFonts w:ascii="Arial" w:hAnsi="Arial" w:cs="Arial"/>
        </w:rPr>
        <w:t xml:space="preserve"> </w:t>
      </w:r>
      <w:r w:rsidRPr="00991531">
        <w:rPr>
          <w:rFonts w:ascii="Arial" w:hAnsi="Arial" w:cs="Arial"/>
        </w:rPr>
        <w:t xml:space="preserve">supplied by Australia Post. In addition, all export requirements of </w:t>
      </w:r>
      <w:r w:rsidR="00AA70B8">
        <w:rPr>
          <w:rFonts w:ascii="Arial" w:hAnsi="Arial" w:cs="Arial"/>
        </w:rPr>
        <w:t>Australian Border Force</w:t>
      </w:r>
      <w:r w:rsidRPr="00A64D84">
        <w:rPr>
          <w:rFonts w:ascii="Arial" w:hAnsi="Arial" w:cs="Arial"/>
        </w:rPr>
        <w:t xml:space="preserve"> </w:t>
      </w:r>
      <w:r w:rsidRPr="00991531">
        <w:rPr>
          <w:rFonts w:ascii="Arial" w:hAnsi="Arial" w:cs="Arial"/>
        </w:rPr>
        <w:t xml:space="preserve">must be met. Where the value of the consignment exceeds $2000 or a permit requirement applies, a formal export declaration must be lodged with </w:t>
      </w:r>
      <w:r w:rsidR="00AA70B8" w:rsidRPr="00991531">
        <w:rPr>
          <w:rFonts w:ascii="Arial" w:hAnsi="Arial" w:cs="Arial"/>
        </w:rPr>
        <w:t>Australian Border Force</w:t>
      </w:r>
      <w:r w:rsidRPr="00991531">
        <w:rPr>
          <w:rFonts w:ascii="Arial" w:hAnsi="Arial" w:cs="Arial"/>
        </w:rPr>
        <w:t>. If the value is $2000 or less and no permit requirement applies, a formal export declaration is not required</w:t>
      </w:r>
      <w:r w:rsidRPr="00A64D84">
        <w:rPr>
          <w:rFonts w:ascii="Arial" w:hAnsi="Arial" w:cs="Arial"/>
        </w:rPr>
        <w:t xml:space="preserve">. Clearance must also be obtained from </w:t>
      </w:r>
      <w:r w:rsidR="00AA70B8">
        <w:rPr>
          <w:rFonts w:ascii="Arial" w:hAnsi="Arial" w:cs="Arial"/>
        </w:rPr>
        <w:t>Australian Border Force</w:t>
      </w:r>
      <w:r w:rsidR="00E70686" w:rsidRPr="00991531">
        <w:t xml:space="preserve"> </w:t>
      </w:r>
      <w:r w:rsidRPr="00A64D84">
        <w:rPr>
          <w:rFonts w:ascii="Arial" w:hAnsi="Arial" w:cs="Arial"/>
        </w:rPr>
        <w:t xml:space="preserve">for the import of goods into Australia. For details about these requirements contact </w:t>
      </w:r>
      <w:r w:rsidR="00AA70B8">
        <w:rPr>
          <w:rFonts w:ascii="Arial" w:hAnsi="Arial" w:cs="Arial"/>
        </w:rPr>
        <w:t>an Australian Border Force</w:t>
      </w:r>
      <w:r w:rsidR="00E70686" w:rsidRPr="00991531">
        <w:t xml:space="preserve"> </w:t>
      </w:r>
      <w:r w:rsidRPr="00A64D84">
        <w:rPr>
          <w:rFonts w:ascii="Arial" w:hAnsi="Arial" w:cs="Arial"/>
        </w:rPr>
        <w:t xml:space="preserve">office in your </w:t>
      </w:r>
      <w:r w:rsidR="00CB1C08">
        <w:rPr>
          <w:rFonts w:ascii="Arial" w:hAnsi="Arial" w:cs="Arial"/>
        </w:rPr>
        <w:t>s</w:t>
      </w:r>
      <w:r w:rsidRPr="00A64D84">
        <w:rPr>
          <w:rFonts w:ascii="Arial" w:hAnsi="Arial" w:cs="Arial"/>
        </w:rPr>
        <w:t>tate capital or the head office at:</w:t>
      </w:r>
    </w:p>
    <w:p w14:paraId="6C885133" w14:textId="400376F5" w:rsidR="00EF58B8" w:rsidRDefault="00642AF5" w:rsidP="00805900">
      <w:pPr>
        <w:ind w:left="1276"/>
        <w:rPr>
          <w:rFonts w:ascii="Arial" w:hAnsi="Arial" w:cs="Arial"/>
          <w:sz w:val="24"/>
          <w:szCs w:val="24"/>
        </w:rPr>
      </w:pPr>
      <w:r w:rsidRPr="00BC7F52">
        <w:rPr>
          <w:rStyle w:val="Strong"/>
          <w:rFonts w:ascii="Arial" w:hAnsi="Arial" w:cs="Arial"/>
          <w:b w:val="0"/>
          <w:bCs w:val="0"/>
          <w:sz w:val="24"/>
          <w:szCs w:val="24"/>
          <w:u w:val="single"/>
        </w:rPr>
        <w:t>Australian Border Force</w:t>
      </w:r>
      <w:r w:rsidR="00EF58B8" w:rsidRPr="00A64D84">
        <w:rPr>
          <w:rFonts w:ascii="Arial" w:hAnsi="Arial" w:cs="Arial"/>
          <w:sz w:val="24"/>
          <w:szCs w:val="24"/>
        </w:rPr>
        <w:br/>
      </w:r>
      <w:r w:rsidR="00422BAC" w:rsidRPr="00A64D84">
        <w:rPr>
          <w:rFonts w:ascii="Arial" w:hAnsi="Arial" w:cs="Arial"/>
          <w:sz w:val="24"/>
          <w:szCs w:val="24"/>
        </w:rPr>
        <w:t>131 88</w:t>
      </w:r>
      <w:r w:rsidR="00E70686" w:rsidRPr="00A64D84">
        <w:rPr>
          <w:rFonts w:ascii="Arial" w:hAnsi="Arial" w:cs="Arial"/>
          <w:sz w:val="24"/>
          <w:szCs w:val="24"/>
        </w:rPr>
        <w:t>1</w:t>
      </w:r>
      <w:r w:rsidR="00EF58B8" w:rsidRPr="00A64D84">
        <w:rPr>
          <w:rFonts w:ascii="Arial" w:hAnsi="Arial" w:cs="Arial"/>
          <w:sz w:val="24"/>
          <w:szCs w:val="24"/>
        </w:rPr>
        <w:t xml:space="preserve"> (within Australia) or </w:t>
      </w:r>
      <w:r w:rsidR="00422BAC" w:rsidRPr="00A64D84">
        <w:rPr>
          <w:rFonts w:ascii="Arial" w:hAnsi="Arial" w:cs="Arial"/>
          <w:sz w:val="24"/>
          <w:szCs w:val="24"/>
        </w:rPr>
        <w:t xml:space="preserve">+61 2 6196 0196 </w:t>
      </w:r>
      <w:r w:rsidR="00EF58B8" w:rsidRPr="00A64D84">
        <w:rPr>
          <w:rFonts w:ascii="Arial" w:hAnsi="Arial" w:cs="Arial"/>
          <w:sz w:val="24"/>
          <w:szCs w:val="24"/>
        </w:rPr>
        <w:t>(from outside Australia)</w:t>
      </w:r>
    </w:p>
    <w:p w14:paraId="5FF77DD4" w14:textId="6A898C24" w:rsidR="0060152F" w:rsidRPr="0060152F" w:rsidRDefault="0060152F" w:rsidP="00805900">
      <w:pPr>
        <w:ind w:left="1276"/>
        <w:rPr>
          <w:rFonts w:ascii="Arial" w:hAnsi="Arial" w:cs="Arial"/>
          <w:sz w:val="24"/>
          <w:szCs w:val="24"/>
        </w:rPr>
      </w:pPr>
      <w:r>
        <w:rPr>
          <w:rStyle w:val="Strong"/>
          <w:rFonts w:ascii="Arial" w:hAnsi="Arial" w:cs="Arial"/>
          <w:b w:val="0"/>
          <w:bCs w:val="0"/>
          <w:sz w:val="24"/>
          <w:szCs w:val="24"/>
        </w:rPr>
        <w:t>www.homeaffairs.gov.au</w:t>
      </w:r>
    </w:p>
    <w:p w14:paraId="6C885137" w14:textId="77777777" w:rsidR="00EF58B8" w:rsidRPr="00A64D84" w:rsidRDefault="00EF58B8" w:rsidP="00BC7F52">
      <w:pPr>
        <w:pStyle w:val="Heading3"/>
        <w:spacing w:before="100" w:beforeAutospacing="1" w:after="100" w:afterAutospacing="1"/>
        <w:rPr>
          <w:rFonts w:ascii="Arial" w:hAnsi="Arial" w:cs="Arial"/>
          <w:sz w:val="24"/>
          <w:szCs w:val="24"/>
        </w:rPr>
      </w:pPr>
      <w:r w:rsidRPr="00A64D84">
        <w:rPr>
          <w:rFonts w:ascii="Arial" w:hAnsi="Arial" w:cs="Arial"/>
          <w:sz w:val="24"/>
          <w:szCs w:val="24"/>
        </w:rPr>
        <w:t>Import</w:t>
      </w:r>
    </w:p>
    <w:p w14:paraId="402B314C" w14:textId="77777777" w:rsidR="0052768C" w:rsidRPr="0052768C" w:rsidRDefault="00EF58B8" w:rsidP="00BC7F52">
      <w:pPr>
        <w:pStyle w:val="Heading3"/>
        <w:spacing w:before="100" w:beforeAutospacing="1" w:after="100" w:afterAutospacing="1"/>
        <w:rPr>
          <w:rFonts w:ascii="Arial" w:hAnsi="Arial" w:cs="Arial"/>
          <w:b w:val="0"/>
          <w:sz w:val="24"/>
          <w:szCs w:val="24"/>
          <w:lang w:eastAsia="en-AU"/>
        </w:rPr>
      </w:pPr>
      <w:r w:rsidRPr="0052768C">
        <w:rPr>
          <w:rFonts w:ascii="Arial" w:hAnsi="Arial" w:cs="Arial"/>
          <w:b w:val="0"/>
          <w:sz w:val="24"/>
          <w:szCs w:val="24"/>
          <w:lang w:eastAsia="en-AU"/>
        </w:rPr>
        <w:t>For import into Australia, CITES specimens must be accompanied by documentation issued or endorsed by the exporting country’s CITES Management Authority complying with the CITES provisions for exchange of scientific specimens (Article VII.6 and Resolution Conf 11.15). The scientific exchange label is not required for the import of Australian native non</w:t>
      </w:r>
      <w:r w:rsidR="0060152F" w:rsidRPr="0052768C">
        <w:rPr>
          <w:rFonts w:ascii="Arial" w:hAnsi="Arial" w:cs="Arial"/>
          <w:b w:val="0"/>
          <w:sz w:val="24"/>
          <w:szCs w:val="24"/>
          <w:lang w:eastAsia="en-AU"/>
        </w:rPr>
        <w:t>-</w:t>
      </w:r>
      <w:r w:rsidRPr="0052768C">
        <w:rPr>
          <w:rFonts w:ascii="Arial" w:hAnsi="Arial" w:cs="Arial"/>
          <w:b w:val="0"/>
          <w:sz w:val="24"/>
          <w:szCs w:val="24"/>
          <w:lang w:eastAsia="en-AU"/>
        </w:rPr>
        <w:t>CITES-listed specimens.</w:t>
      </w:r>
    </w:p>
    <w:p w14:paraId="6C885139" w14:textId="3B261CC9" w:rsidR="00EF58B8" w:rsidRPr="00A64D84" w:rsidRDefault="00EF58B8" w:rsidP="00BC7F52">
      <w:pPr>
        <w:pStyle w:val="Heading3"/>
        <w:spacing w:before="100" w:beforeAutospacing="1" w:after="100" w:afterAutospacing="1"/>
        <w:rPr>
          <w:rFonts w:ascii="Arial" w:hAnsi="Arial" w:cs="Arial"/>
          <w:sz w:val="24"/>
          <w:szCs w:val="24"/>
        </w:rPr>
      </w:pPr>
      <w:r w:rsidRPr="00A64D84">
        <w:rPr>
          <w:rFonts w:ascii="Arial" w:hAnsi="Arial" w:cs="Arial"/>
          <w:sz w:val="24"/>
          <w:szCs w:val="24"/>
        </w:rPr>
        <w:t>Keeping records</w:t>
      </w:r>
    </w:p>
    <w:p w14:paraId="6C88513A" w14:textId="5C3AD768" w:rsidR="00EF58B8" w:rsidRPr="00A64D84" w:rsidRDefault="00EF58B8" w:rsidP="00BC7F52">
      <w:pPr>
        <w:pStyle w:val="NormalWeb"/>
        <w:widowControl w:val="0"/>
        <w:outlineLvl w:val="1"/>
        <w:rPr>
          <w:rFonts w:ascii="Arial" w:hAnsi="Arial" w:cs="Arial"/>
        </w:rPr>
      </w:pPr>
      <w:r w:rsidRPr="00A64D84">
        <w:rPr>
          <w:rFonts w:ascii="Arial" w:hAnsi="Arial" w:cs="Arial"/>
        </w:rPr>
        <w:t xml:space="preserve">Registered institutions must maintain a record of all exchanges undertaken. These records must be made available to </w:t>
      </w:r>
      <w:r w:rsidR="00562139" w:rsidRPr="00A64D84">
        <w:rPr>
          <w:rFonts w:ascii="Arial" w:hAnsi="Arial" w:cs="Arial"/>
        </w:rPr>
        <w:t xml:space="preserve">the Department of </w:t>
      </w:r>
      <w:r w:rsidR="00E019A2">
        <w:rPr>
          <w:rFonts w:ascii="Arial" w:hAnsi="Arial" w:cs="Arial"/>
        </w:rPr>
        <w:t xml:space="preserve">Agriculture, Water and </w:t>
      </w:r>
      <w:r w:rsidR="00562139" w:rsidRPr="00A64D84">
        <w:rPr>
          <w:rFonts w:ascii="Arial" w:hAnsi="Arial" w:cs="Arial"/>
        </w:rPr>
        <w:t>the Environment</w:t>
      </w:r>
      <w:r w:rsidR="00A926EF">
        <w:rPr>
          <w:rFonts w:ascii="Arial" w:hAnsi="Arial" w:cs="Arial"/>
        </w:rPr>
        <w:t xml:space="preserve"> </w:t>
      </w:r>
      <w:r w:rsidR="00E019A2">
        <w:rPr>
          <w:rFonts w:ascii="Arial" w:hAnsi="Arial" w:cs="Arial"/>
        </w:rPr>
        <w:t>annually</w:t>
      </w:r>
      <w:r w:rsidR="005850B9">
        <w:rPr>
          <w:rFonts w:ascii="Arial" w:hAnsi="Arial" w:cs="Arial"/>
        </w:rPr>
        <w:t>, on 31 August each year</w:t>
      </w:r>
      <w:r w:rsidRPr="00A64D84">
        <w:rPr>
          <w:rFonts w:ascii="Arial" w:hAnsi="Arial" w:cs="Arial"/>
        </w:rPr>
        <w:t>.</w:t>
      </w:r>
      <w:r w:rsidR="005850B9">
        <w:rPr>
          <w:rFonts w:ascii="Arial" w:hAnsi="Arial" w:cs="Arial"/>
        </w:rPr>
        <w:t xml:space="preserve"> The records should be for the financial year.</w:t>
      </w:r>
    </w:p>
    <w:p w14:paraId="6C88513B" w14:textId="77777777" w:rsidR="00EF58B8" w:rsidRPr="00A64D84" w:rsidRDefault="00EF58B8" w:rsidP="00BC7F52">
      <w:pPr>
        <w:pStyle w:val="Heading2"/>
        <w:spacing w:before="100" w:beforeAutospacing="1" w:after="100" w:afterAutospacing="1"/>
        <w:jc w:val="left"/>
        <w:rPr>
          <w:rFonts w:ascii="Arial" w:hAnsi="Arial" w:cs="Arial"/>
          <w:i w:val="0"/>
          <w:szCs w:val="24"/>
        </w:rPr>
      </w:pPr>
      <w:r w:rsidRPr="00A64D84">
        <w:rPr>
          <w:rFonts w:ascii="Arial" w:hAnsi="Arial" w:cs="Arial"/>
          <w:i w:val="0"/>
          <w:szCs w:val="24"/>
        </w:rPr>
        <w:t>Review/Revocation of Registration</w:t>
      </w:r>
    </w:p>
    <w:p w14:paraId="6C88513C" w14:textId="3B5827F5" w:rsidR="00EF58B8" w:rsidRPr="00A64D84" w:rsidRDefault="00EF58B8" w:rsidP="00BC7F52">
      <w:pPr>
        <w:pStyle w:val="BodyText"/>
        <w:widowControl w:val="0"/>
        <w:spacing w:before="100" w:beforeAutospacing="1" w:after="100" w:afterAutospacing="1"/>
        <w:jc w:val="left"/>
        <w:outlineLvl w:val="1"/>
        <w:rPr>
          <w:rFonts w:ascii="Arial" w:hAnsi="Arial" w:cs="Arial"/>
          <w:b w:val="0"/>
          <w:szCs w:val="24"/>
        </w:rPr>
      </w:pPr>
      <w:r w:rsidRPr="00A64D84">
        <w:rPr>
          <w:rFonts w:ascii="Arial" w:hAnsi="Arial" w:cs="Arial"/>
          <w:b w:val="0"/>
          <w:szCs w:val="24"/>
          <w:lang w:eastAsia="en-AU"/>
        </w:rPr>
        <w:t xml:space="preserve">A review of the register of scientific institutions will be conducted </w:t>
      </w:r>
      <w:r w:rsidR="00E019A2">
        <w:rPr>
          <w:rFonts w:ascii="Arial" w:hAnsi="Arial" w:cs="Arial"/>
          <w:b w:val="0"/>
          <w:szCs w:val="24"/>
          <w:lang w:eastAsia="en-AU"/>
        </w:rPr>
        <w:t>periodically</w:t>
      </w:r>
      <w:r w:rsidRPr="00A64D84">
        <w:rPr>
          <w:rFonts w:ascii="Arial" w:hAnsi="Arial" w:cs="Arial"/>
          <w:b w:val="0"/>
          <w:szCs w:val="24"/>
          <w:lang w:eastAsia="en-AU"/>
        </w:rPr>
        <w:t xml:space="preserve"> to ensure the information is up-to-date and that all institutions continue to meet the requirements of registration. Institutions that no longer meet the requirements or that may have been exchanging </w:t>
      </w:r>
      <w:proofErr w:type="gramStart"/>
      <w:r w:rsidRPr="00A64D84">
        <w:rPr>
          <w:rFonts w:ascii="Arial" w:hAnsi="Arial" w:cs="Arial"/>
          <w:b w:val="0"/>
          <w:szCs w:val="24"/>
          <w:lang w:eastAsia="en-AU"/>
        </w:rPr>
        <w:t>specimens</w:t>
      </w:r>
      <w:proofErr w:type="gramEnd"/>
      <w:r w:rsidRPr="00A64D84">
        <w:rPr>
          <w:rFonts w:ascii="Arial" w:hAnsi="Arial" w:cs="Arial"/>
          <w:b w:val="0"/>
          <w:szCs w:val="24"/>
          <w:lang w:eastAsia="en-AU"/>
        </w:rPr>
        <w:t xml:space="preserve"> contrary to the requirements outlined above will be removed from the Register</w:t>
      </w:r>
      <w:r w:rsidRPr="00A64D84">
        <w:rPr>
          <w:rFonts w:ascii="Arial" w:hAnsi="Arial" w:cs="Arial"/>
          <w:b w:val="0"/>
          <w:szCs w:val="24"/>
        </w:rPr>
        <w:t>.</w:t>
      </w:r>
    </w:p>
    <w:p w14:paraId="6C88513F" w14:textId="77777777" w:rsidR="00EF58B8" w:rsidRPr="00A64D84" w:rsidRDefault="00EF58B8" w:rsidP="00BC7F52">
      <w:pPr>
        <w:pStyle w:val="Heading2"/>
        <w:spacing w:before="100" w:beforeAutospacing="1" w:after="100" w:afterAutospacing="1"/>
        <w:jc w:val="left"/>
        <w:rPr>
          <w:rFonts w:ascii="Arial" w:hAnsi="Arial" w:cs="Arial"/>
          <w:i w:val="0"/>
          <w:szCs w:val="24"/>
        </w:rPr>
      </w:pPr>
      <w:r w:rsidRPr="00A64D84">
        <w:rPr>
          <w:rFonts w:ascii="Arial" w:hAnsi="Arial" w:cs="Arial"/>
          <w:i w:val="0"/>
          <w:szCs w:val="24"/>
        </w:rPr>
        <w:t>Other research purposes</w:t>
      </w:r>
    </w:p>
    <w:p w14:paraId="6C885140" w14:textId="27D5B4C4" w:rsidR="00EF58B8" w:rsidRPr="00A64D84" w:rsidRDefault="00E019A2" w:rsidP="00BC7F52">
      <w:pPr>
        <w:pStyle w:val="NormalWeb"/>
        <w:widowControl w:val="0"/>
        <w:outlineLvl w:val="1"/>
        <w:rPr>
          <w:rFonts w:ascii="Arial" w:hAnsi="Arial" w:cs="Arial"/>
        </w:rPr>
      </w:pPr>
      <w:r w:rsidRPr="00A64D84">
        <w:rPr>
          <w:rFonts w:ascii="Arial" w:hAnsi="Arial" w:cs="Arial"/>
        </w:rPr>
        <w:t>If a specimen does not meet all the criteria for scientific exchange, registered institutions must apply for a research permit</w:t>
      </w:r>
      <w:r w:rsidR="00EF58B8" w:rsidRPr="00A64D84">
        <w:rPr>
          <w:rFonts w:ascii="Arial" w:hAnsi="Arial" w:cs="Arial"/>
        </w:rPr>
        <w:t xml:space="preserve">. Information on obtaining permits for the import and export of specimens for research purposes can be found at: </w:t>
      </w:r>
    </w:p>
    <w:p w14:paraId="6C885141" w14:textId="4C849972" w:rsidR="00EF58B8" w:rsidRPr="00805900" w:rsidRDefault="0060152F" w:rsidP="00BC7F52">
      <w:pPr>
        <w:pStyle w:val="NormalWeb"/>
        <w:widowControl w:val="0"/>
        <w:outlineLvl w:val="1"/>
        <w:rPr>
          <w:rFonts w:ascii="Arial" w:hAnsi="Arial" w:cs="Arial"/>
        </w:rPr>
      </w:pPr>
      <w:r w:rsidRPr="00805900">
        <w:rPr>
          <w:rFonts w:ascii="Arial" w:hAnsi="Arial" w:cs="Arial"/>
        </w:rPr>
        <w:t>http://www.environment.gov.au/biodiversity/wildlife-trade/permits/index.html</w:t>
      </w:r>
      <w:r w:rsidR="00E82B8D" w:rsidRPr="00805900">
        <w:rPr>
          <w:rFonts w:ascii="Arial" w:hAnsi="Arial" w:cs="Arial"/>
        </w:rPr>
        <w:t xml:space="preserve"> </w:t>
      </w:r>
    </w:p>
    <w:p w14:paraId="5C1C856A" w14:textId="0CC2E0AF" w:rsidR="0060152F" w:rsidRDefault="00EF58B8" w:rsidP="00191DDC">
      <w:pPr>
        <w:pStyle w:val="NormalWeb"/>
        <w:widowControl w:val="0"/>
        <w:outlineLvl w:val="1"/>
        <w:rPr>
          <w:rFonts w:ascii="Arial" w:hAnsi="Arial" w:cs="Arial"/>
        </w:rPr>
      </w:pPr>
      <w:r w:rsidRPr="00A64D84">
        <w:rPr>
          <w:rFonts w:ascii="Arial" w:hAnsi="Arial" w:cs="Arial"/>
        </w:rPr>
        <w:lastRenderedPageBreak/>
        <w:t xml:space="preserve">Note: Further information is available from </w:t>
      </w:r>
      <w:r w:rsidR="00562139" w:rsidRPr="00A64D84">
        <w:rPr>
          <w:rFonts w:ascii="Arial" w:hAnsi="Arial" w:cs="Arial"/>
        </w:rPr>
        <w:t xml:space="preserve">the </w:t>
      </w:r>
      <w:r w:rsidR="00E019A2" w:rsidRPr="00A64D84">
        <w:rPr>
          <w:rFonts w:ascii="Arial" w:hAnsi="Arial" w:cs="Arial"/>
        </w:rPr>
        <w:t xml:space="preserve">Department of </w:t>
      </w:r>
      <w:r w:rsidR="00E019A2">
        <w:rPr>
          <w:rFonts w:ascii="Arial" w:hAnsi="Arial" w:cs="Arial"/>
        </w:rPr>
        <w:t xml:space="preserve">Agriculture, Water and </w:t>
      </w:r>
      <w:r w:rsidR="00E019A2" w:rsidRPr="00A64D84">
        <w:rPr>
          <w:rFonts w:ascii="Arial" w:hAnsi="Arial" w:cs="Arial"/>
        </w:rPr>
        <w:t>the Environment</w:t>
      </w:r>
      <w:r w:rsidR="00E019A2">
        <w:rPr>
          <w:rFonts w:ascii="Arial" w:hAnsi="Arial" w:cs="Arial"/>
        </w:rPr>
        <w:t xml:space="preserve"> </w:t>
      </w:r>
      <w:r w:rsidR="0060152F">
        <w:rPr>
          <w:rFonts w:ascii="Arial" w:hAnsi="Arial" w:cs="Arial"/>
        </w:rPr>
        <w:t>at:</w:t>
      </w:r>
    </w:p>
    <w:p w14:paraId="5369C81E" w14:textId="2B3246E8" w:rsidR="0060152F" w:rsidRDefault="00EF58B8" w:rsidP="00805900">
      <w:pPr>
        <w:pStyle w:val="NormalWeb"/>
        <w:widowControl w:val="0"/>
        <w:spacing w:before="0" w:beforeAutospacing="0" w:after="0" w:afterAutospacing="0"/>
        <w:ind w:left="720"/>
        <w:outlineLvl w:val="1"/>
        <w:rPr>
          <w:rFonts w:ascii="Arial" w:hAnsi="Arial" w:cs="Arial"/>
        </w:rPr>
      </w:pPr>
      <w:r w:rsidRPr="00A64D84">
        <w:rPr>
          <w:rFonts w:ascii="Arial" w:hAnsi="Arial" w:cs="Arial"/>
        </w:rPr>
        <w:t xml:space="preserve">Ph. </w:t>
      </w:r>
      <w:r w:rsidR="00D83BFB" w:rsidRPr="00A64D84">
        <w:rPr>
          <w:rFonts w:ascii="Arial" w:hAnsi="Arial" w:cs="Arial"/>
        </w:rPr>
        <w:t>+</w:t>
      </w:r>
      <w:r w:rsidRPr="00A64D84">
        <w:rPr>
          <w:rFonts w:ascii="Arial" w:hAnsi="Arial" w:cs="Arial"/>
        </w:rPr>
        <w:t xml:space="preserve">61 2 6274 1900 </w:t>
      </w:r>
      <w:r w:rsidR="00E70686" w:rsidRPr="00A64D84">
        <w:rPr>
          <w:rFonts w:ascii="Arial" w:hAnsi="Arial" w:cs="Arial"/>
        </w:rPr>
        <w:t>(option 2)</w:t>
      </w:r>
      <w:r w:rsidR="0060152F">
        <w:rPr>
          <w:rFonts w:ascii="Arial" w:hAnsi="Arial" w:cs="Arial"/>
        </w:rPr>
        <w:t xml:space="preserve"> </w:t>
      </w:r>
    </w:p>
    <w:p w14:paraId="6C885142" w14:textId="6200750D" w:rsidR="00EF58B8" w:rsidRPr="00A64D84" w:rsidRDefault="0060152F" w:rsidP="00805900">
      <w:pPr>
        <w:pStyle w:val="NormalWeb"/>
        <w:widowControl w:val="0"/>
        <w:spacing w:before="0" w:beforeAutospacing="0" w:after="0" w:afterAutospacing="0"/>
        <w:ind w:left="720"/>
        <w:outlineLvl w:val="1"/>
        <w:rPr>
          <w:rFonts w:ascii="Arial" w:hAnsi="Arial" w:cs="Arial"/>
        </w:rPr>
      </w:pPr>
      <w:r>
        <w:rPr>
          <w:rFonts w:ascii="Arial" w:hAnsi="Arial" w:cs="Arial"/>
        </w:rPr>
        <w:t>wta@environment.gov.au</w:t>
      </w:r>
      <w:r w:rsidR="00EF58B8" w:rsidRPr="00A64D84">
        <w:rPr>
          <w:rFonts w:ascii="Arial" w:hAnsi="Arial" w:cs="Arial"/>
          <w:vanish/>
          <w:color w:val="FF0000"/>
        </w:rPr>
        <w:t xml:space="preserve"> </w:t>
      </w:r>
    </w:p>
    <w:sectPr w:rsidR="00EF58B8" w:rsidRPr="00A64D84" w:rsidSect="00BC7F52">
      <w:headerReference w:type="default" r:id="rId15"/>
      <w:footerReference w:type="default" r:id="rId16"/>
      <w:headerReference w:type="first" r:id="rId17"/>
      <w:pgSz w:w="11906" w:h="16838"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024EC" w14:textId="77777777" w:rsidR="00C918A2" w:rsidRDefault="00C918A2">
      <w:r>
        <w:separator/>
      </w:r>
    </w:p>
  </w:endnote>
  <w:endnote w:type="continuationSeparator" w:id="0">
    <w:p w14:paraId="072CC939" w14:textId="77777777" w:rsidR="00C918A2" w:rsidRDefault="00C918A2">
      <w:r>
        <w:continuationSeparator/>
      </w:r>
    </w:p>
  </w:endnote>
  <w:endnote w:type="continuationNotice" w:id="1">
    <w:p w14:paraId="471A750D" w14:textId="77777777" w:rsidR="000450C1" w:rsidRDefault="00045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227413"/>
      <w:docPartObj>
        <w:docPartGallery w:val="Page Numbers (Bottom of Page)"/>
        <w:docPartUnique/>
      </w:docPartObj>
    </w:sdtPr>
    <w:sdtEndPr>
      <w:rPr>
        <w:noProof/>
      </w:rPr>
    </w:sdtEndPr>
    <w:sdtContent>
      <w:p w14:paraId="022BFFBD" w14:textId="024682E6" w:rsidR="00643BBA" w:rsidRDefault="00643B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1494A6" w14:textId="77777777" w:rsidR="001573BB" w:rsidRDefault="0015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2D6FC" w14:textId="77777777" w:rsidR="00C918A2" w:rsidRDefault="00C918A2">
      <w:r>
        <w:separator/>
      </w:r>
    </w:p>
  </w:footnote>
  <w:footnote w:type="continuationSeparator" w:id="0">
    <w:p w14:paraId="5722AA2A" w14:textId="77777777" w:rsidR="00C918A2" w:rsidRDefault="00C918A2">
      <w:r>
        <w:continuationSeparator/>
      </w:r>
    </w:p>
  </w:footnote>
  <w:footnote w:type="continuationNotice" w:id="1">
    <w:p w14:paraId="5CB3C409" w14:textId="77777777" w:rsidR="000450C1" w:rsidRDefault="00045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78AE" w14:textId="0F2EDAAA" w:rsidR="00643BBA" w:rsidRDefault="00643BBA">
    <w:pPr>
      <w:pStyle w:val="Header"/>
    </w:pPr>
  </w:p>
  <w:p w14:paraId="65B679D9" w14:textId="77777777" w:rsidR="00643BBA" w:rsidRDefault="00643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A40A" w14:textId="13876169" w:rsidR="00643BBA" w:rsidRDefault="00643BBA">
    <w:pPr>
      <w:pStyle w:val="Header"/>
    </w:pPr>
    <w:r>
      <w:rPr>
        <w:rFonts w:asciiTheme="majorHAnsi" w:hAnsiTheme="majorHAnsi"/>
        <w:noProof/>
        <w:sz w:val="16"/>
        <w:szCs w:val="16"/>
        <w:lang w:eastAsia="en-AU"/>
      </w:rPr>
      <w:drawing>
        <wp:inline distT="0" distB="0" distL="0" distR="0" wp14:anchorId="4BB0AEB8" wp14:editId="542B9DD0">
          <wp:extent cx="2417064" cy="725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9F6853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257421"/>
    <w:multiLevelType w:val="singleLevel"/>
    <w:tmpl w:val="E4C642EE"/>
    <w:lvl w:ilvl="0">
      <w:start w:val="4"/>
      <w:numFmt w:val="lowerRoman"/>
      <w:lvlText w:val="(%1)"/>
      <w:lvlJc w:val="left"/>
      <w:pPr>
        <w:tabs>
          <w:tab w:val="num" w:pos="2700"/>
        </w:tabs>
        <w:ind w:left="2700" w:hanging="720"/>
      </w:pPr>
      <w:rPr>
        <w:rFonts w:hint="default"/>
      </w:rPr>
    </w:lvl>
  </w:abstractNum>
  <w:abstractNum w:abstractNumId="3" w15:restartNumberingAfterBreak="0">
    <w:nsid w:val="06EE7D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83124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E5165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8B6BF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8764BE"/>
    <w:multiLevelType w:val="singleLevel"/>
    <w:tmpl w:val="1DCC69E6"/>
    <w:lvl w:ilvl="0">
      <w:start w:val="1"/>
      <w:numFmt w:val="lowerRoman"/>
      <w:lvlText w:val="(%1)"/>
      <w:lvlJc w:val="left"/>
      <w:pPr>
        <w:tabs>
          <w:tab w:val="num" w:pos="1080"/>
        </w:tabs>
        <w:ind w:left="1080" w:hanging="720"/>
      </w:pPr>
      <w:rPr>
        <w:rFonts w:hint="default"/>
      </w:rPr>
    </w:lvl>
  </w:abstractNum>
  <w:abstractNum w:abstractNumId="8" w15:restartNumberingAfterBreak="0">
    <w:nsid w:val="16A56AC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B513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2C7A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3D0F8B"/>
    <w:multiLevelType w:val="multilevel"/>
    <w:tmpl w:val="E1F6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A5AD7"/>
    <w:multiLevelType w:val="hybridMultilevel"/>
    <w:tmpl w:val="D8F846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1EC10D86"/>
    <w:multiLevelType w:val="hybridMultilevel"/>
    <w:tmpl w:val="D2024FB8"/>
    <w:lvl w:ilvl="0" w:tplc="8EA6D8E2">
      <w:start w:val="1"/>
      <w:numFmt w:val="bullet"/>
      <w:lvlText w:val=""/>
      <w:lvlJc w:val="left"/>
      <w:pPr>
        <w:tabs>
          <w:tab w:val="num" w:pos="441"/>
        </w:tabs>
        <w:ind w:left="441" w:firstLine="17"/>
      </w:pPr>
      <w:rPr>
        <w:rFonts w:ascii="Symbol" w:hAnsi="Symbol" w:hint="default"/>
      </w:rPr>
    </w:lvl>
    <w:lvl w:ilvl="1" w:tplc="0C090003" w:tentative="1">
      <w:start w:val="1"/>
      <w:numFmt w:val="bullet"/>
      <w:lvlText w:val="o"/>
      <w:lvlJc w:val="left"/>
      <w:pPr>
        <w:tabs>
          <w:tab w:val="num" w:pos="1615"/>
        </w:tabs>
        <w:ind w:left="1615" w:hanging="360"/>
      </w:pPr>
      <w:rPr>
        <w:rFonts w:ascii="Courier New" w:hAnsi="Courier New" w:cs="Courier New" w:hint="default"/>
      </w:rPr>
    </w:lvl>
    <w:lvl w:ilvl="2" w:tplc="0C090005" w:tentative="1">
      <w:start w:val="1"/>
      <w:numFmt w:val="bullet"/>
      <w:lvlText w:val=""/>
      <w:lvlJc w:val="left"/>
      <w:pPr>
        <w:tabs>
          <w:tab w:val="num" w:pos="2335"/>
        </w:tabs>
        <w:ind w:left="2335" w:hanging="360"/>
      </w:pPr>
      <w:rPr>
        <w:rFonts w:ascii="Wingdings" w:hAnsi="Wingdings" w:hint="default"/>
      </w:rPr>
    </w:lvl>
    <w:lvl w:ilvl="3" w:tplc="0C090001" w:tentative="1">
      <w:start w:val="1"/>
      <w:numFmt w:val="bullet"/>
      <w:lvlText w:val=""/>
      <w:lvlJc w:val="left"/>
      <w:pPr>
        <w:tabs>
          <w:tab w:val="num" w:pos="3055"/>
        </w:tabs>
        <w:ind w:left="3055" w:hanging="360"/>
      </w:pPr>
      <w:rPr>
        <w:rFonts w:ascii="Symbol" w:hAnsi="Symbol" w:hint="default"/>
      </w:rPr>
    </w:lvl>
    <w:lvl w:ilvl="4" w:tplc="0C090003" w:tentative="1">
      <w:start w:val="1"/>
      <w:numFmt w:val="bullet"/>
      <w:lvlText w:val="o"/>
      <w:lvlJc w:val="left"/>
      <w:pPr>
        <w:tabs>
          <w:tab w:val="num" w:pos="3775"/>
        </w:tabs>
        <w:ind w:left="3775" w:hanging="360"/>
      </w:pPr>
      <w:rPr>
        <w:rFonts w:ascii="Courier New" w:hAnsi="Courier New" w:cs="Courier New" w:hint="default"/>
      </w:rPr>
    </w:lvl>
    <w:lvl w:ilvl="5" w:tplc="0C090005" w:tentative="1">
      <w:start w:val="1"/>
      <w:numFmt w:val="bullet"/>
      <w:lvlText w:val=""/>
      <w:lvlJc w:val="left"/>
      <w:pPr>
        <w:tabs>
          <w:tab w:val="num" w:pos="4495"/>
        </w:tabs>
        <w:ind w:left="4495" w:hanging="360"/>
      </w:pPr>
      <w:rPr>
        <w:rFonts w:ascii="Wingdings" w:hAnsi="Wingdings" w:hint="default"/>
      </w:rPr>
    </w:lvl>
    <w:lvl w:ilvl="6" w:tplc="0C090001" w:tentative="1">
      <w:start w:val="1"/>
      <w:numFmt w:val="bullet"/>
      <w:lvlText w:val=""/>
      <w:lvlJc w:val="left"/>
      <w:pPr>
        <w:tabs>
          <w:tab w:val="num" w:pos="5215"/>
        </w:tabs>
        <w:ind w:left="5215" w:hanging="360"/>
      </w:pPr>
      <w:rPr>
        <w:rFonts w:ascii="Symbol" w:hAnsi="Symbol" w:hint="default"/>
      </w:rPr>
    </w:lvl>
    <w:lvl w:ilvl="7" w:tplc="0C090003" w:tentative="1">
      <w:start w:val="1"/>
      <w:numFmt w:val="bullet"/>
      <w:lvlText w:val="o"/>
      <w:lvlJc w:val="left"/>
      <w:pPr>
        <w:tabs>
          <w:tab w:val="num" w:pos="5935"/>
        </w:tabs>
        <w:ind w:left="5935" w:hanging="360"/>
      </w:pPr>
      <w:rPr>
        <w:rFonts w:ascii="Courier New" w:hAnsi="Courier New" w:cs="Courier New" w:hint="default"/>
      </w:rPr>
    </w:lvl>
    <w:lvl w:ilvl="8" w:tplc="0C090005" w:tentative="1">
      <w:start w:val="1"/>
      <w:numFmt w:val="bullet"/>
      <w:lvlText w:val=""/>
      <w:lvlJc w:val="left"/>
      <w:pPr>
        <w:tabs>
          <w:tab w:val="num" w:pos="6655"/>
        </w:tabs>
        <w:ind w:left="6655" w:hanging="360"/>
      </w:pPr>
      <w:rPr>
        <w:rFonts w:ascii="Wingdings" w:hAnsi="Wingdings" w:hint="default"/>
      </w:rPr>
    </w:lvl>
  </w:abstractNum>
  <w:abstractNum w:abstractNumId="14" w15:restartNumberingAfterBreak="0">
    <w:nsid w:val="234F41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E91D25"/>
    <w:multiLevelType w:val="hybridMultilevel"/>
    <w:tmpl w:val="FCEED70A"/>
    <w:lvl w:ilvl="0" w:tplc="356A9D60">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D52369"/>
    <w:multiLevelType w:val="hybridMultilevel"/>
    <w:tmpl w:val="33B056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1304A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1C5093"/>
    <w:multiLevelType w:val="hybridMultilevel"/>
    <w:tmpl w:val="D2B863D0"/>
    <w:lvl w:ilvl="0" w:tplc="9AD0AA0A">
      <w:start w:val="1"/>
      <w:numFmt w:val="bullet"/>
      <w:lvlText w:val="─"/>
      <w:lvlJc w:val="left"/>
      <w:pPr>
        <w:tabs>
          <w:tab w:val="num" w:pos="6881"/>
        </w:tabs>
        <w:ind w:left="6881" w:hanging="360"/>
      </w:pPr>
      <w:rPr>
        <w:rFonts w:ascii="Courier New" w:hAnsi="Courier New" w:hint="default"/>
      </w:rPr>
    </w:lvl>
    <w:lvl w:ilvl="1" w:tplc="0C090003" w:tentative="1">
      <w:start w:val="1"/>
      <w:numFmt w:val="bullet"/>
      <w:lvlText w:val="o"/>
      <w:lvlJc w:val="left"/>
      <w:pPr>
        <w:tabs>
          <w:tab w:val="num" w:pos="7224"/>
        </w:tabs>
        <w:ind w:left="7224" w:hanging="360"/>
      </w:pPr>
      <w:rPr>
        <w:rFonts w:ascii="Courier New" w:hAnsi="Courier New" w:cs="Courier New" w:hint="default"/>
      </w:rPr>
    </w:lvl>
    <w:lvl w:ilvl="2" w:tplc="0C090005" w:tentative="1">
      <w:start w:val="1"/>
      <w:numFmt w:val="bullet"/>
      <w:lvlText w:val=""/>
      <w:lvlJc w:val="left"/>
      <w:pPr>
        <w:tabs>
          <w:tab w:val="num" w:pos="7944"/>
        </w:tabs>
        <w:ind w:left="7944" w:hanging="360"/>
      </w:pPr>
      <w:rPr>
        <w:rFonts w:ascii="Wingdings" w:hAnsi="Wingdings" w:hint="default"/>
      </w:rPr>
    </w:lvl>
    <w:lvl w:ilvl="3" w:tplc="0C090001" w:tentative="1">
      <w:start w:val="1"/>
      <w:numFmt w:val="bullet"/>
      <w:lvlText w:val=""/>
      <w:lvlJc w:val="left"/>
      <w:pPr>
        <w:tabs>
          <w:tab w:val="num" w:pos="8664"/>
        </w:tabs>
        <w:ind w:left="8664" w:hanging="360"/>
      </w:pPr>
      <w:rPr>
        <w:rFonts w:ascii="Symbol" w:hAnsi="Symbol" w:hint="default"/>
      </w:rPr>
    </w:lvl>
    <w:lvl w:ilvl="4" w:tplc="0C090003" w:tentative="1">
      <w:start w:val="1"/>
      <w:numFmt w:val="bullet"/>
      <w:lvlText w:val="o"/>
      <w:lvlJc w:val="left"/>
      <w:pPr>
        <w:tabs>
          <w:tab w:val="num" w:pos="9384"/>
        </w:tabs>
        <w:ind w:left="9384" w:hanging="360"/>
      </w:pPr>
      <w:rPr>
        <w:rFonts w:ascii="Courier New" w:hAnsi="Courier New" w:cs="Courier New" w:hint="default"/>
      </w:rPr>
    </w:lvl>
    <w:lvl w:ilvl="5" w:tplc="0C090005" w:tentative="1">
      <w:start w:val="1"/>
      <w:numFmt w:val="bullet"/>
      <w:lvlText w:val=""/>
      <w:lvlJc w:val="left"/>
      <w:pPr>
        <w:tabs>
          <w:tab w:val="num" w:pos="10104"/>
        </w:tabs>
        <w:ind w:left="10104" w:hanging="360"/>
      </w:pPr>
      <w:rPr>
        <w:rFonts w:ascii="Wingdings" w:hAnsi="Wingdings" w:hint="default"/>
      </w:rPr>
    </w:lvl>
    <w:lvl w:ilvl="6" w:tplc="0C090001" w:tentative="1">
      <w:start w:val="1"/>
      <w:numFmt w:val="bullet"/>
      <w:lvlText w:val=""/>
      <w:lvlJc w:val="left"/>
      <w:pPr>
        <w:tabs>
          <w:tab w:val="num" w:pos="10824"/>
        </w:tabs>
        <w:ind w:left="10824" w:hanging="360"/>
      </w:pPr>
      <w:rPr>
        <w:rFonts w:ascii="Symbol" w:hAnsi="Symbol" w:hint="default"/>
      </w:rPr>
    </w:lvl>
    <w:lvl w:ilvl="7" w:tplc="0C090003" w:tentative="1">
      <w:start w:val="1"/>
      <w:numFmt w:val="bullet"/>
      <w:lvlText w:val="o"/>
      <w:lvlJc w:val="left"/>
      <w:pPr>
        <w:tabs>
          <w:tab w:val="num" w:pos="11544"/>
        </w:tabs>
        <w:ind w:left="11544" w:hanging="360"/>
      </w:pPr>
      <w:rPr>
        <w:rFonts w:ascii="Courier New" w:hAnsi="Courier New" w:cs="Courier New" w:hint="default"/>
      </w:rPr>
    </w:lvl>
    <w:lvl w:ilvl="8" w:tplc="0C090005" w:tentative="1">
      <w:start w:val="1"/>
      <w:numFmt w:val="bullet"/>
      <w:lvlText w:val=""/>
      <w:lvlJc w:val="left"/>
      <w:pPr>
        <w:tabs>
          <w:tab w:val="num" w:pos="12264"/>
        </w:tabs>
        <w:ind w:left="12264" w:hanging="360"/>
      </w:pPr>
      <w:rPr>
        <w:rFonts w:ascii="Wingdings" w:hAnsi="Wingdings" w:hint="default"/>
      </w:rPr>
    </w:lvl>
  </w:abstractNum>
  <w:abstractNum w:abstractNumId="19" w15:restartNumberingAfterBreak="0">
    <w:nsid w:val="39CE5611"/>
    <w:multiLevelType w:val="singleLevel"/>
    <w:tmpl w:val="3222C8CE"/>
    <w:lvl w:ilvl="0">
      <w:start w:val="1"/>
      <w:numFmt w:val="decimal"/>
      <w:pStyle w:val="ListBullet"/>
      <w:lvlText w:val="%1."/>
      <w:legacy w:legacy="1" w:legacySpace="0" w:legacyIndent="283"/>
      <w:lvlJc w:val="left"/>
      <w:pPr>
        <w:ind w:left="283" w:hanging="283"/>
      </w:pPr>
    </w:lvl>
  </w:abstractNum>
  <w:abstractNum w:abstractNumId="20" w15:restartNumberingAfterBreak="0">
    <w:nsid w:val="3EA45B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AC7CF5"/>
    <w:multiLevelType w:val="multilevel"/>
    <w:tmpl w:val="C35C36DC"/>
    <w:lvl w:ilvl="0">
      <w:start w:val="1"/>
      <w:numFmt w:val="bullet"/>
      <w:lvlText w:val="─"/>
      <w:lvlJc w:val="left"/>
      <w:pPr>
        <w:tabs>
          <w:tab w:val="num" w:pos="818"/>
        </w:tabs>
        <w:ind w:left="818" w:hanging="360"/>
      </w:pPr>
      <w:rPr>
        <w:rFonts w:ascii="Courier New" w:hAnsi="Courier New" w:hint="default"/>
      </w:rPr>
    </w:lvl>
    <w:lvl w:ilvl="1">
      <w:start w:val="1"/>
      <w:numFmt w:val="bullet"/>
      <w:lvlText w:val="o"/>
      <w:lvlJc w:val="left"/>
      <w:pPr>
        <w:tabs>
          <w:tab w:val="num" w:pos="1615"/>
        </w:tabs>
        <w:ind w:left="1615" w:hanging="360"/>
      </w:pPr>
      <w:rPr>
        <w:rFonts w:ascii="Courier New" w:hAnsi="Courier New" w:cs="Courier New" w:hint="default"/>
      </w:rPr>
    </w:lvl>
    <w:lvl w:ilvl="2">
      <w:start w:val="1"/>
      <w:numFmt w:val="bullet"/>
      <w:lvlText w:val=""/>
      <w:lvlJc w:val="left"/>
      <w:pPr>
        <w:tabs>
          <w:tab w:val="num" w:pos="2335"/>
        </w:tabs>
        <w:ind w:left="2335" w:hanging="360"/>
      </w:pPr>
      <w:rPr>
        <w:rFonts w:ascii="Wingdings" w:hAnsi="Wingdings" w:hint="default"/>
      </w:rPr>
    </w:lvl>
    <w:lvl w:ilvl="3">
      <w:start w:val="1"/>
      <w:numFmt w:val="bullet"/>
      <w:lvlText w:val=""/>
      <w:lvlJc w:val="left"/>
      <w:pPr>
        <w:tabs>
          <w:tab w:val="num" w:pos="3055"/>
        </w:tabs>
        <w:ind w:left="3055" w:hanging="360"/>
      </w:pPr>
      <w:rPr>
        <w:rFonts w:ascii="Symbol" w:hAnsi="Symbol" w:hint="default"/>
      </w:rPr>
    </w:lvl>
    <w:lvl w:ilvl="4">
      <w:start w:val="1"/>
      <w:numFmt w:val="bullet"/>
      <w:lvlText w:val="o"/>
      <w:lvlJc w:val="left"/>
      <w:pPr>
        <w:tabs>
          <w:tab w:val="num" w:pos="3775"/>
        </w:tabs>
        <w:ind w:left="3775" w:hanging="360"/>
      </w:pPr>
      <w:rPr>
        <w:rFonts w:ascii="Courier New" w:hAnsi="Courier New" w:cs="Courier New" w:hint="default"/>
      </w:rPr>
    </w:lvl>
    <w:lvl w:ilvl="5">
      <w:start w:val="1"/>
      <w:numFmt w:val="bullet"/>
      <w:lvlText w:val=""/>
      <w:lvlJc w:val="left"/>
      <w:pPr>
        <w:tabs>
          <w:tab w:val="num" w:pos="4495"/>
        </w:tabs>
        <w:ind w:left="4495" w:hanging="360"/>
      </w:pPr>
      <w:rPr>
        <w:rFonts w:ascii="Wingdings" w:hAnsi="Wingdings" w:hint="default"/>
      </w:rPr>
    </w:lvl>
    <w:lvl w:ilvl="6">
      <w:start w:val="1"/>
      <w:numFmt w:val="bullet"/>
      <w:lvlText w:val=""/>
      <w:lvlJc w:val="left"/>
      <w:pPr>
        <w:tabs>
          <w:tab w:val="num" w:pos="5215"/>
        </w:tabs>
        <w:ind w:left="5215" w:hanging="360"/>
      </w:pPr>
      <w:rPr>
        <w:rFonts w:ascii="Symbol" w:hAnsi="Symbol" w:hint="default"/>
      </w:rPr>
    </w:lvl>
    <w:lvl w:ilvl="7">
      <w:start w:val="1"/>
      <w:numFmt w:val="bullet"/>
      <w:lvlText w:val="o"/>
      <w:lvlJc w:val="left"/>
      <w:pPr>
        <w:tabs>
          <w:tab w:val="num" w:pos="5935"/>
        </w:tabs>
        <w:ind w:left="5935" w:hanging="360"/>
      </w:pPr>
      <w:rPr>
        <w:rFonts w:ascii="Courier New" w:hAnsi="Courier New" w:cs="Courier New" w:hint="default"/>
      </w:rPr>
    </w:lvl>
    <w:lvl w:ilvl="8">
      <w:start w:val="1"/>
      <w:numFmt w:val="bullet"/>
      <w:lvlText w:val=""/>
      <w:lvlJc w:val="left"/>
      <w:pPr>
        <w:tabs>
          <w:tab w:val="num" w:pos="6655"/>
        </w:tabs>
        <w:ind w:left="6655" w:hanging="360"/>
      </w:pPr>
      <w:rPr>
        <w:rFonts w:ascii="Wingdings" w:hAnsi="Wingdings" w:hint="default"/>
      </w:rPr>
    </w:lvl>
  </w:abstractNum>
  <w:abstractNum w:abstractNumId="22" w15:restartNumberingAfterBreak="0">
    <w:nsid w:val="43BD6C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A684F6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9271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CC57D1"/>
    <w:multiLevelType w:val="singleLevel"/>
    <w:tmpl w:val="74928DA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5E623C"/>
    <w:multiLevelType w:val="hybridMultilevel"/>
    <w:tmpl w:val="C35C36DC"/>
    <w:lvl w:ilvl="0" w:tplc="75A47D6A">
      <w:start w:val="1"/>
      <w:numFmt w:val="bullet"/>
      <w:lvlText w:val="─"/>
      <w:lvlJc w:val="left"/>
      <w:pPr>
        <w:tabs>
          <w:tab w:val="num" w:pos="818"/>
        </w:tabs>
        <w:ind w:left="818" w:hanging="360"/>
      </w:pPr>
      <w:rPr>
        <w:rFonts w:ascii="Courier New" w:hAnsi="Courier New" w:hint="default"/>
      </w:rPr>
    </w:lvl>
    <w:lvl w:ilvl="1" w:tplc="0C090003" w:tentative="1">
      <w:start w:val="1"/>
      <w:numFmt w:val="bullet"/>
      <w:lvlText w:val="o"/>
      <w:lvlJc w:val="left"/>
      <w:pPr>
        <w:tabs>
          <w:tab w:val="num" w:pos="1615"/>
        </w:tabs>
        <w:ind w:left="1615" w:hanging="360"/>
      </w:pPr>
      <w:rPr>
        <w:rFonts w:ascii="Courier New" w:hAnsi="Courier New" w:cs="Courier New" w:hint="default"/>
      </w:rPr>
    </w:lvl>
    <w:lvl w:ilvl="2" w:tplc="0C090005" w:tentative="1">
      <w:start w:val="1"/>
      <w:numFmt w:val="bullet"/>
      <w:lvlText w:val=""/>
      <w:lvlJc w:val="left"/>
      <w:pPr>
        <w:tabs>
          <w:tab w:val="num" w:pos="2335"/>
        </w:tabs>
        <w:ind w:left="2335" w:hanging="360"/>
      </w:pPr>
      <w:rPr>
        <w:rFonts w:ascii="Wingdings" w:hAnsi="Wingdings" w:hint="default"/>
      </w:rPr>
    </w:lvl>
    <w:lvl w:ilvl="3" w:tplc="0C090001" w:tentative="1">
      <w:start w:val="1"/>
      <w:numFmt w:val="bullet"/>
      <w:lvlText w:val=""/>
      <w:lvlJc w:val="left"/>
      <w:pPr>
        <w:tabs>
          <w:tab w:val="num" w:pos="3055"/>
        </w:tabs>
        <w:ind w:left="3055" w:hanging="360"/>
      </w:pPr>
      <w:rPr>
        <w:rFonts w:ascii="Symbol" w:hAnsi="Symbol" w:hint="default"/>
      </w:rPr>
    </w:lvl>
    <w:lvl w:ilvl="4" w:tplc="0C090003" w:tentative="1">
      <w:start w:val="1"/>
      <w:numFmt w:val="bullet"/>
      <w:lvlText w:val="o"/>
      <w:lvlJc w:val="left"/>
      <w:pPr>
        <w:tabs>
          <w:tab w:val="num" w:pos="3775"/>
        </w:tabs>
        <w:ind w:left="3775" w:hanging="360"/>
      </w:pPr>
      <w:rPr>
        <w:rFonts w:ascii="Courier New" w:hAnsi="Courier New" w:cs="Courier New" w:hint="default"/>
      </w:rPr>
    </w:lvl>
    <w:lvl w:ilvl="5" w:tplc="0C090005" w:tentative="1">
      <w:start w:val="1"/>
      <w:numFmt w:val="bullet"/>
      <w:lvlText w:val=""/>
      <w:lvlJc w:val="left"/>
      <w:pPr>
        <w:tabs>
          <w:tab w:val="num" w:pos="4495"/>
        </w:tabs>
        <w:ind w:left="4495" w:hanging="360"/>
      </w:pPr>
      <w:rPr>
        <w:rFonts w:ascii="Wingdings" w:hAnsi="Wingdings" w:hint="default"/>
      </w:rPr>
    </w:lvl>
    <w:lvl w:ilvl="6" w:tplc="0C090001" w:tentative="1">
      <w:start w:val="1"/>
      <w:numFmt w:val="bullet"/>
      <w:lvlText w:val=""/>
      <w:lvlJc w:val="left"/>
      <w:pPr>
        <w:tabs>
          <w:tab w:val="num" w:pos="5215"/>
        </w:tabs>
        <w:ind w:left="5215" w:hanging="360"/>
      </w:pPr>
      <w:rPr>
        <w:rFonts w:ascii="Symbol" w:hAnsi="Symbol" w:hint="default"/>
      </w:rPr>
    </w:lvl>
    <w:lvl w:ilvl="7" w:tplc="0C090003" w:tentative="1">
      <w:start w:val="1"/>
      <w:numFmt w:val="bullet"/>
      <w:lvlText w:val="o"/>
      <w:lvlJc w:val="left"/>
      <w:pPr>
        <w:tabs>
          <w:tab w:val="num" w:pos="5935"/>
        </w:tabs>
        <w:ind w:left="5935" w:hanging="360"/>
      </w:pPr>
      <w:rPr>
        <w:rFonts w:ascii="Courier New" w:hAnsi="Courier New" w:cs="Courier New" w:hint="default"/>
      </w:rPr>
    </w:lvl>
    <w:lvl w:ilvl="8" w:tplc="0C090005" w:tentative="1">
      <w:start w:val="1"/>
      <w:numFmt w:val="bullet"/>
      <w:lvlText w:val=""/>
      <w:lvlJc w:val="left"/>
      <w:pPr>
        <w:tabs>
          <w:tab w:val="num" w:pos="6655"/>
        </w:tabs>
        <w:ind w:left="6655" w:hanging="360"/>
      </w:pPr>
      <w:rPr>
        <w:rFonts w:ascii="Wingdings" w:hAnsi="Wingdings" w:hint="default"/>
      </w:rPr>
    </w:lvl>
  </w:abstractNum>
  <w:abstractNum w:abstractNumId="27" w15:restartNumberingAfterBreak="0">
    <w:nsid w:val="5D5306E2"/>
    <w:multiLevelType w:val="singleLevel"/>
    <w:tmpl w:val="6B94740C"/>
    <w:lvl w:ilvl="0">
      <w:start w:val="3"/>
      <w:numFmt w:val="lowerRoman"/>
      <w:lvlText w:val="(%1)"/>
      <w:lvlJc w:val="left"/>
      <w:pPr>
        <w:tabs>
          <w:tab w:val="num" w:pos="1080"/>
        </w:tabs>
        <w:ind w:left="1080" w:hanging="720"/>
      </w:pPr>
      <w:rPr>
        <w:rFonts w:hint="default"/>
      </w:rPr>
    </w:lvl>
  </w:abstractNum>
  <w:abstractNum w:abstractNumId="28" w15:restartNumberingAfterBreak="0">
    <w:nsid w:val="60E73BFA"/>
    <w:multiLevelType w:val="singleLevel"/>
    <w:tmpl w:val="0C090019"/>
    <w:lvl w:ilvl="0">
      <w:start w:val="1"/>
      <w:numFmt w:val="lowerLetter"/>
      <w:lvlText w:val="(%1)"/>
      <w:lvlJc w:val="left"/>
      <w:pPr>
        <w:tabs>
          <w:tab w:val="num" w:pos="360"/>
        </w:tabs>
        <w:ind w:left="360" w:hanging="360"/>
      </w:pPr>
    </w:lvl>
  </w:abstractNum>
  <w:abstractNum w:abstractNumId="29" w15:restartNumberingAfterBreak="0">
    <w:nsid w:val="6C745B77"/>
    <w:multiLevelType w:val="singleLevel"/>
    <w:tmpl w:val="1DCC69E6"/>
    <w:lvl w:ilvl="0">
      <w:start w:val="1"/>
      <w:numFmt w:val="lowerRoman"/>
      <w:lvlText w:val="(%1)"/>
      <w:lvlJc w:val="left"/>
      <w:pPr>
        <w:tabs>
          <w:tab w:val="num" w:pos="1080"/>
        </w:tabs>
        <w:ind w:left="1080" w:hanging="720"/>
      </w:pPr>
      <w:rPr>
        <w:rFonts w:hint="default"/>
      </w:rPr>
    </w:lvl>
  </w:abstractNum>
  <w:abstractNum w:abstractNumId="30" w15:restartNumberingAfterBreak="0">
    <w:nsid w:val="6F1D08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3485D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7D74A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6904558"/>
    <w:multiLevelType w:val="hybridMultilevel"/>
    <w:tmpl w:val="FE64C856"/>
    <w:lvl w:ilvl="0" w:tplc="244CEE9A">
      <w:start w:val="1"/>
      <w:numFmt w:val="lowerRoman"/>
      <w:lvlText w:val="(%1)"/>
      <w:lvlJc w:val="left"/>
      <w:pPr>
        <w:tabs>
          <w:tab w:val="num" w:pos="1573"/>
        </w:tabs>
        <w:ind w:left="1213" w:hanging="360"/>
      </w:pPr>
      <w:rPr>
        <w:rFonts w:hint="default"/>
      </w:rPr>
    </w:lvl>
    <w:lvl w:ilvl="1" w:tplc="04090019" w:tentative="1">
      <w:start w:val="1"/>
      <w:numFmt w:val="lowerLetter"/>
      <w:lvlText w:val="%2."/>
      <w:lvlJc w:val="left"/>
      <w:pPr>
        <w:tabs>
          <w:tab w:val="num" w:pos="1933"/>
        </w:tabs>
        <w:ind w:left="1933" w:hanging="360"/>
      </w:pPr>
    </w:lvl>
    <w:lvl w:ilvl="2" w:tplc="0409001B" w:tentative="1">
      <w:start w:val="1"/>
      <w:numFmt w:val="lowerRoman"/>
      <w:lvlText w:val="%3."/>
      <w:lvlJc w:val="right"/>
      <w:pPr>
        <w:tabs>
          <w:tab w:val="num" w:pos="2653"/>
        </w:tabs>
        <w:ind w:left="2653" w:hanging="180"/>
      </w:pPr>
    </w:lvl>
    <w:lvl w:ilvl="3" w:tplc="0409000F" w:tentative="1">
      <w:start w:val="1"/>
      <w:numFmt w:val="decimal"/>
      <w:lvlText w:val="%4."/>
      <w:lvlJc w:val="left"/>
      <w:pPr>
        <w:tabs>
          <w:tab w:val="num" w:pos="3373"/>
        </w:tabs>
        <w:ind w:left="3373" w:hanging="360"/>
      </w:pPr>
    </w:lvl>
    <w:lvl w:ilvl="4" w:tplc="04090019" w:tentative="1">
      <w:start w:val="1"/>
      <w:numFmt w:val="lowerLetter"/>
      <w:lvlText w:val="%5."/>
      <w:lvlJc w:val="left"/>
      <w:pPr>
        <w:tabs>
          <w:tab w:val="num" w:pos="4093"/>
        </w:tabs>
        <w:ind w:left="4093" w:hanging="360"/>
      </w:pPr>
    </w:lvl>
    <w:lvl w:ilvl="5" w:tplc="0409001B" w:tentative="1">
      <w:start w:val="1"/>
      <w:numFmt w:val="lowerRoman"/>
      <w:lvlText w:val="%6."/>
      <w:lvlJc w:val="right"/>
      <w:pPr>
        <w:tabs>
          <w:tab w:val="num" w:pos="4813"/>
        </w:tabs>
        <w:ind w:left="4813" w:hanging="180"/>
      </w:pPr>
    </w:lvl>
    <w:lvl w:ilvl="6" w:tplc="0409000F" w:tentative="1">
      <w:start w:val="1"/>
      <w:numFmt w:val="decimal"/>
      <w:lvlText w:val="%7."/>
      <w:lvlJc w:val="left"/>
      <w:pPr>
        <w:tabs>
          <w:tab w:val="num" w:pos="5533"/>
        </w:tabs>
        <w:ind w:left="5533" w:hanging="360"/>
      </w:pPr>
    </w:lvl>
    <w:lvl w:ilvl="7" w:tplc="04090019" w:tentative="1">
      <w:start w:val="1"/>
      <w:numFmt w:val="lowerLetter"/>
      <w:lvlText w:val="%8."/>
      <w:lvlJc w:val="left"/>
      <w:pPr>
        <w:tabs>
          <w:tab w:val="num" w:pos="6253"/>
        </w:tabs>
        <w:ind w:left="6253" w:hanging="360"/>
      </w:pPr>
    </w:lvl>
    <w:lvl w:ilvl="8" w:tplc="0409001B" w:tentative="1">
      <w:start w:val="1"/>
      <w:numFmt w:val="lowerRoman"/>
      <w:lvlText w:val="%9."/>
      <w:lvlJc w:val="right"/>
      <w:pPr>
        <w:tabs>
          <w:tab w:val="num" w:pos="6973"/>
        </w:tabs>
        <w:ind w:left="6973" w:hanging="180"/>
      </w:pPr>
    </w:lvl>
  </w:abstractNum>
  <w:num w:numId="1">
    <w:abstractNumId w:val="22"/>
  </w:num>
  <w:num w:numId="2">
    <w:abstractNumId w:val="24"/>
  </w:num>
  <w:num w:numId="3">
    <w:abstractNumId w:val="28"/>
  </w:num>
  <w:num w:numId="4">
    <w:abstractNumId w:val="19"/>
  </w:num>
  <w:num w:numId="5">
    <w:abstractNumId w:val="19"/>
    <w:lvlOverride w:ilvl="0">
      <w:lvl w:ilvl="0">
        <w:start w:val="1"/>
        <w:numFmt w:val="decimal"/>
        <w:pStyle w:val="ListBullet"/>
        <w:lvlText w:val="%1."/>
        <w:legacy w:legacy="1" w:legacySpace="0" w:legacyIndent="283"/>
        <w:lvlJc w:val="left"/>
        <w:pPr>
          <w:ind w:left="283" w:hanging="283"/>
        </w:pPr>
      </w:lvl>
    </w:lvlOverride>
  </w:num>
  <w:num w:numId="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8"/>
  </w:num>
  <w:num w:numId="8">
    <w:abstractNumId w:val="17"/>
  </w:num>
  <w:num w:numId="9">
    <w:abstractNumId w:val="14"/>
  </w:num>
  <w:num w:numId="10">
    <w:abstractNumId w:val="9"/>
  </w:num>
  <w:num w:numId="11">
    <w:abstractNumId w:val="31"/>
  </w:num>
  <w:num w:numId="12">
    <w:abstractNumId w:val="23"/>
  </w:num>
  <w:num w:numId="13">
    <w:abstractNumId w:val="4"/>
  </w:num>
  <w:num w:numId="14">
    <w:abstractNumId w:val="20"/>
  </w:num>
  <w:num w:numId="15">
    <w:abstractNumId w:val="10"/>
  </w:num>
  <w:num w:numId="16">
    <w:abstractNumId w:val="2"/>
  </w:num>
  <w:num w:numId="17">
    <w:abstractNumId w:val="6"/>
  </w:num>
  <w:num w:numId="18">
    <w:abstractNumId w:val="32"/>
  </w:num>
  <w:num w:numId="19">
    <w:abstractNumId w:val="30"/>
  </w:num>
  <w:num w:numId="20">
    <w:abstractNumId w:val="27"/>
  </w:num>
  <w:num w:numId="21">
    <w:abstractNumId w:val="7"/>
  </w:num>
  <w:num w:numId="22">
    <w:abstractNumId w:val="5"/>
  </w:num>
  <w:num w:numId="23">
    <w:abstractNumId w:val="3"/>
  </w:num>
  <w:num w:numId="24">
    <w:abstractNumId w:val="29"/>
  </w:num>
  <w:num w:numId="25">
    <w:abstractNumId w:val="25"/>
  </w:num>
  <w:num w:numId="26">
    <w:abstractNumId w:val="33"/>
  </w:num>
  <w:num w:numId="27">
    <w:abstractNumId w:val="15"/>
  </w:num>
  <w:num w:numId="28">
    <w:abstractNumId w:val="0"/>
  </w:num>
  <w:num w:numId="29">
    <w:abstractNumId w:val="0"/>
  </w:num>
  <w:num w:numId="3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13"/>
  </w:num>
  <w:num w:numId="35">
    <w:abstractNumId w:val="18"/>
  </w:num>
  <w:num w:numId="36">
    <w:abstractNumId w:val="11"/>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8D"/>
    <w:rsid w:val="000450C1"/>
    <w:rsid w:val="00050918"/>
    <w:rsid w:val="001573BB"/>
    <w:rsid w:val="00191DDC"/>
    <w:rsid w:val="00196D6F"/>
    <w:rsid w:val="001A0B87"/>
    <w:rsid w:val="002C03FD"/>
    <w:rsid w:val="002E7B60"/>
    <w:rsid w:val="003153D5"/>
    <w:rsid w:val="003F319A"/>
    <w:rsid w:val="004227A9"/>
    <w:rsid w:val="00422BAC"/>
    <w:rsid w:val="00496CF9"/>
    <w:rsid w:val="004A51D6"/>
    <w:rsid w:val="004B25BB"/>
    <w:rsid w:val="004B44E0"/>
    <w:rsid w:val="004C4D76"/>
    <w:rsid w:val="004D2796"/>
    <w:rsid w:val="004F2CB9"/>
    <w:rsid w:val="0052768C"/>
    <w:rsid w:val="00535F3F"/>
    <w:rsid w:val="005476EF"/>
    <w:rsid w:val="00562139"/>
    <w:rsid w:val="005850B9"/>
    <w:rsid w:val="005A6953"/>
    <w:rsid w:val="005E57CD"/>
    <w:rsid w:val="0060152F"/>
    <w:rsid w:val="00642AF5"/>
    <w:rsid w:val="00643BBA"/>
    <w:rsid w:val="00646171"/>
    <w:rsid w:val="00681D27"/>
    <w:rsid w:val="00692DDC"/>
    <w:rsid w:val="00722E5C"/>
    <w:rsid w:val="007C3962"/>
    <w:rsid w:val="00805900"/>
    <w:rsid w:val="008D128D"/>
    <w:rsid w:val="009818C7"/>
    <w:rsid w:val="00991531"/>
    <w:rsid w:val="009B2AEB"/>
    <w:rsid w:val="009B2C07"/>
    <w:rsid w:val="009E4C56"/>
    <w:rsid w:val="00A64D84"/>
    <w:rsid w:val="00A926EF"/>
    <w:rsid w:val="00AA70B8"/>
    <w:rsid w:val="00AE29FD"/>
    <w:rsid w:val="00B4524C"/>
    <w:rsid w:val="00B71E6F"/>
    <w:rsid w:val="00BC7F52"/>
    <w:rsid w:val="00BE2526"/>
    <w:rsid w:val="00C1570B"/>
    <w:rsid w:val="00C918A2"/>
    <w:rsid w:val="00CB1C08"/>
    <w:rsid w:val="00CC5428"/>
    <w:rsid w:val="00CE159C"/>
    <w:rsid w:val="00CF5F4A"/>
    <w:rsid w:val="00D83BFB"/>
    <w:rsid w:val="00DD3AA9"/>
    <w:rsid w:val="00DD7D6A"/>
    <w:rsid w:val="00E019A2"/>
    <w:rsid w:val="00E70686"/>
    <w:rsid w:val="00E82B8D"/>
    <w:rsid w:val="00EF58B8"/>
    <w:rsid w:val="00F33D91"/>
    <w:rsid w:val="00FE621E"/>
    <w:rsid w:val="00FF6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85112"/>
  <w15:docId w15:val="{1A4D0BB8-533C-4512-8E0D-3E3CAB9E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E5C"/>
    <w:rPr>
      <w:lang w:eastAsia="en-US"/>
    </w:rPr>
  </w:style>
  <w:style w:type="paragraph" w:styleId="Heading1">
    <w:name w:val="heading 1"/>
    <w:basedOn w:val="Normal"/>
    <w:next w:val="Normal"/>
    <w:qFormat/>
    <w:rsid w:val="00722E5C"/>
    <w:pPr>
      <w:keepNext/>
      <w:outlineLvl w:val="0"/>
    </w:pPr>
    <w:rPr>
      <w:b/>
      <w:sz w:val="22"/>
    </w:rPr>
  </w:style>
  <w:style w:type="paragraph" w:styleId="Heading2">
    <w:name w:val="heading 2"/>
    <w:basedOn w:val="Normal"/>
    <w:next w:val="Normal"/>
    <w:qFormat/>
    <w:rsid w:val="00722E5C"/>
    <w:pPr>
      <w:keepNext/>
      <w:spacing w:after="120"/>
      <w:jc w:val="both"/>
      <w:outlineLvl w:val="1"/>
    </w:pPr>
    <w:rPr>
      <w:b/>
      <w:i/>
      <w:sz w:val="24"/>
    </w:rPr>
  </w:style>
  <w:style w:type="paragraph" w:styleId="Heading3">
    <w:name w:val="heading 3"/>
    <w:basedOn w:val="Normal"/>
    <w:next w:val="Normal"/>
    <w:qFormat/>
    <w:rsid w:val="00722E5C"/>
    <w:pPr>
      <w:keepNext/>
      <w:outlineLvl w:val="2"/>
    </w:pPr>
    <w:rPr>
      <w:b/>
      <w:sz w:val="28"/>
    </w:rPr>
  </w:style>
  <w:style w:type="paragraph" w:styleId="Heading4">
    <w:name w:val="heading 4"/>
    <w:basedOn w:val="Normal"/>
    <w:next w:val="Normal"/>
    <w:qFormat/>
    <w:rsid w:val="00722E5C"/>
    <w:pPr>
      <w:keepNext/>
      <w:jc w:val="center"/>
      <w:outlineLvl w:val="3"/>
    </w:pPr>
    <w:rPr>
      <w:b/>
      <w:sz w:val="28"/>
    </w:rPr>
  </w:style>
  <w:style w:type="paragraph" w:styleId="Heading5">
    <w:name w:val="heading 5"/>
    <w:basedOn w:val="Normal"/>
    <w:next w:val="Normal"/>
    <w:qFormat/>
    <w:rsid w:val="00722E5C"/>
    <w:pPr>
      <w:keepNext/>
      <w:outlineLvl w:val="4"/>
    </w:pPr>
    <w:rPr>
      <w:b/>
      <w:sz w:val="24"/>
    </w:rPr>
  </w:style>
  <w:style w:type="paragraph" w:styleId="Heading6">
    <w:name w:val="heading 6"/>
    <w:basedOn w:val="Normal"/>
    <w:next w:val="Normal"/>
    <w:qFormat/>
    <w:rsid w:val="00722E5C"/>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22E5C"/>
    <w:pPr>
      <w:jc w:val="center"/>
    </w:pPr>
    <w:rPr>
      <w:b/>
      <w:sz w:val="24"/>
    </w:rPr>
  </w:style>
  <w:style w:type="paragraph" w:styleId="BodyText2">
    <w:name w:val="Body Text 2"/>
    <w:basedOn w:val="Normal"/>
    <w:rsid w:val="00722E5C"/>
    <w:pPr>
      <w:jc w:val="center"/>
    </w:pPr>
    <w:rPr>
      <w:sz w:val="24"/>
    </w:rPr>
  </w:style>
  <w:style w:type="character" w:styleId="Hyperlink">
    <w:name w:val="Hyperlink"/>
    <w:basedOn w:val="DefaultParagraphFont"/>
    <w:rsid w:val="00722E5C"/>
    <w:rPr>
      <w:color w:val="0000FF"/>
      <w:u w:val="single"/>
    </w:rPr>
  </w:style>
  <w:style w:type="paragraph" w:styleId="BodyText3">
    <w:name w:val="Body Text 3"/>
    <w:basedOn w:val="Normal"/>
    <w:rsid w:val="00722E5C"/>
    <w:rPr>
      <w:sz w:val="22"/>
    </w:rPr>
  </w:style>
  <w:style w:type="paragraph" w:customStyle="1" w:styleId="P2">
    <w:name w:val="P2"/>
    <w:aliases w:val="(i)"/>
    <w:basedOn w:val="Normal"/>
    <w:rsid w:val="00722E5C"/>
    <w:pPr>
      <w:tabs>
        <w:tab w:val="right" w:pos="2552"/>
      </w:tabs>
      <w:spacing w:before="60" w:line="260" w:lineRule="exact"/>
      <w:ind w:left="2779" w:hanging="1985"/>
      <w:jc w:val="both"/>
    </w:pPr>
    <w:rPr>
      <w:sz w:val="24"/>
    </w:rPr>
  </w:style>
  <w:style w:type="paragraph" w:customStyle="1" w:styleId="ZP1">
    <w:name w:val="ZP1"/>
    <w:basedOn w:val="Normal"/>
    <w:rsid w:val="00722E5C"/>
    <w:pPr>
      <w:keepNext/>
      <w:tabs>
        <w:tab w:val="right" w:pos="1985"/>
      </w:tabs>
      <w:spacing w:before="60" w:line="260" w:lineRule="exact"/>
      <w:ind w:left="2212" w:hanging="1418"/>
      <w:jc w:val="both"/>
    </w:pPr>
    <w:rPr>
      <w:sz w:val="24"/>
    </w:rPr>
  </w:style>
  <w:style w:type="paragraph" w:customStyle="1" w:styleId="Note">
    <w:name w:val="Note"/>
    <w:basedOn w:val="Normal"/>
    <w:next w:val="Normal"/>
    <w:rsid w:val="00722E5C"/>
    <w:pPr>
      <w:spacing w:before="120" w:line="220" w:lineRule="exact"/>
      <w:ind w:left="1758"/>
      <w:jc w:val="both"/>
    </w:pPr>
  </w:style>
  <w:style w:type="character" w:styleId="FollowedHyperlink">
    <w:name w:val="FollowedHyperlink"/>
    <w:basedOn w:val="DefaultParagraphFont"/>
    <w:rsid w:val="00722E5C"/>
    <w:rPr>
      <w:color w:val="800080"/>
      <w:u w:val="single"/>
    </w:rPr>
  </w:style>
  <w:style w:type="paragraph" w:styleId="Header">
    <w:name w:val="header"/>
    <w:basedOn w:val="Normal"/>
    <w:link w:val="HeaderChar"/>
    <w:uiPriority w:val="99"/>
    <w:rsid w:val="00722E5C"/>
    <w:pPr>
      <w:tabs>
        <w:tab w:val="center" w:pos="4153"/>
        <w:tab w:val="right" w:pos="8306"/>
      </w:tabs>
    </w:pPr>
  </w:style>
  <w:style w:type="paragraph" w:styleId="Footer">
    <w:name w:val="footer"/>
    <w:basedOn w:val="Normal"/>
    <w:link w:val="FooterChar"/>
    <w:uiPriority w:val="99"/>
    <w:rsid w:val="00722E5C"/>
    <w:pPr>
      <w:tabs>
        <w:tab w:val="center" w:pos="4153"/>
        <w:tab w:val="right" w:pos="8306"/>
      </w:tabs>
    </w:pPr>
  </w:style>
  <w:style w:type="paragraph" w:styleId="BalloonText">
    <w:name w:val="Balloon Text"/>
    <w:basedOn w:val="Normal"/>
    <w:semiHidden/>
    <w:rsid w:val="00722E5C"/>
    <w:rPr>
      <w:rFonts w:ascii="Tahoma" w:hAnsi="Tahoma" w:cs="Tahoma"/>
      <w:sz w:val="16"/>
      <w:szCs w:val="16"/>
    </w:rPr>
  </w:style>
  <w:style w:type="paragraph" w:styleId="ListBullet">
    <w:name w:val="List Bullet"/>
    <w:basedOn w:val="BodyText"/>
    <w:link w:val="ListBulletChar"/>
    <w:rsid w:val="00722E5C"/>
    <w:pPr>
      <w:numPr>
        <w:numId w:val="4"/>
      </w:numPr>
      <w:tabs>
        <w:tab w:val="left" w:pos="432"/>
        <w:tab w:val="left" w:pos="2835"/>
      </w:tabs>
      <w:spacing w:after="120"/>
      <w:ind w:left="431" w:hanging="431"/>
      <w:contextualSpacing/>
      <w:jc w:val="left"/>
    </w:pPr>
    <w:rPr>
      <w:rFonts w:ascii="Calibri" w:hAnsi="Calibri"/>
      <w:b w:val="0"/>
      <w:szCs w:val="22"/>
      <w:lang w:eastAsia="en-AU"/>
    </w:rPr>
  </w:style>
  <w:style w:type="character" w:customStyle="1" w:styleId="ListBulletChar">
    <w:name w:val="List Bullet Char"/>
    <w:basedOn w:val="DefaultParagraphFont"/>
    <w:link w:val="ListBullet"/>
    <w:rsid w:val="00722E5C"/>
    <w:rPr>
      <w:rFonts w:ascii="Calibri" w:hAnsi="Calibri"/>
      <w:sz w:val="24"/>
      <w:szCs w:val="22"/>
      <w:lang w:val="en-AU" w:eastAsia="en-AU" w:bidi="ar-SA"/>
    </w:rPr>
  </w:style>
  <w:style w:type="paragraph" w:styleId="ListBullet2">
    <w:name w:val="List Bullet 2"/>
    <w:basedOn w:val="Normal"/>
    <w:rsid w:val="00722E5C"/>
    <w:pPr>
      <w:numPr>
        <w:numId w:val="28"/>
      </w:numPr>
    </w:pPr>
  </w:style>
  <w:style w:type="paragraph" w:styleId="NormalWeb">
    <w:name w:val="Normal (Web)"/>
    <w:basedOn w:val="Normal"/>
    <w:rsid w:val="00722E5C"/>
    <w:pPr>
      <w:spacing w:before="100" w:beforeAutospacing="1" w:after="100" w:afterAutospacing="1"/>
    </w:pPr>
    <w:rPr>
      <w:sz w:val="24"/>
      <w:szCs w:val="24"/>
      <w:lang w:eastAsia="en-AU"/>
    </w:rPr>
  </w:style>
  <w:style w:type="paragraph" w:customStyle="1" w:styleId="lastupdated">
    <w:name w:val="lastupdated"/>
    <w:basedOn w:val="Normal"/>
    <w:rsid w:val="00722E5C"/>
    <w:pPr>
      <w:spacing w:before="100" w:beforeAutospacing="1" w:after="100" w:afterAutospacing="1"/>
    </w:pPr>
    <w:rPr>
      <w:sz w:val="24"/>
      <w:szCs w:val="24"/>
      <w:lang w:eastAsia="en-AU"/>
    </w:rPr>
  </w:style>
  <w:style w:type="paragraph" w:customStyle="1" w:styleId="msonormalcxspmiddle">
    <w:name w:val="msonormalcxspmiddle"/>
    <w:basedOn w:val="Normal"/>
    <w:rsid w:val="00722E5C"/>
    <w:pPr>
      <w:spacing w:before="100" w:beforeAutospacing="1" w:after="100" w:afterAutospacing="1"/>
    </w:pPr>
    <w:rPr>
      <w:sz w:val="24"/>
      <w:szCs w:val="24"/>
      <w:lang w:eastAsia="en-AU"/>
    </w:rPr>
  </w:style>
  <w:style w:type="paragraph" w:customStyle="1" w:styleId="msonormalcxsplast">
    <w:name w:val="msonormalcxsplast"/>
    <w:basedOn w:val="Normal"/>
    <w:rsid w:val="00722E5C"/>
    <w:pPr>
      <w:spacing w:before="100" w:beforeAutospacing="1" w:after="100" w:afterAutospacing="1"/>
    </w:pPr>
    <w:rPr>
      <w:sz w:val="24"/>
      <w:szCs w:val="24"/>
      <w:lang w:eastAsia="en-AU"/>
    </w:rPr>
  </w:style>
  <w:style w:type="character" w:styleId="HTMLAcronym">
    <w:name w:val="HTML Acronym"/>
    <w:basedOn w:val="DefaultParagraphFont"/>
    <w:rsid w:val="00722E5C"/>
  </w:style>
  <w:style w:type="paragraph" w:customStyle="1" w:styleId="Default">
    <w:name w:val="Default"/>
    <w:rsid w:val="00722E5C"/>
    <w:pPr>
      <w:autoSpaceDE w:val="0"/>
      <w:autoSpaceDN w:val="0"/>
      <w:adjustRightInd w:val="0"/>
    </w:pPr>
    <w:rPr>
      <w:rFonts w:ascii="Arial" w:hAnsi="Arial" w:cs="Arial"/>
      <w:color w:val="000000"/>
      <w:sz w:val="24"/>
      <w:szCs w:val="24"/>
    </w:rPr>
  </w:style>
  <w:style w:type="table" w:styleId="TableGrid">
    <w:name w:val="Table Grid"/>
    <w:basedOn w:val="TableNormal"/>
    <w:rsid w:val="00722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22E5C"/>
    <w:rPr>
      <w:b/>
      <w:bCs/>
    </w:rPr>
  </w:style>
  <w:style w:type="character" w:customStyle="1" w:styleId="external">
    <w:name w:val="external"/>
    <w:basedOn w:val="DefaultParagraphFont"/>
    <w:rsid w:val="00722E5C"/>
  </w:style>
  <w:style w:type="paragraph" w:styleId="Revision">
    <w:name w:val="Revision"/>
    <w:hidden/>
    <w:uiPriority w:val="99"/>
    <w:semiHidden/>
    <w:rsid w:val="00496CF9"/>
    <w:rPr>
      <w:lang w:eastAsia="en-US"/>
    </w:rPr>
  </w:style>
  <w:style w:type="character" w:customStyle="1" w:styleId="FooterChar">
    <w:name w:val="Footer Char"/>
    <w:basedOn w:val="DefaultParagraphFont"/>
    <w:link w:val="Footer"/>
    <w:uiPriority w:val="99"/>
    <w:rsid w:val="001573BB"/>
    <w:rPr>
      <w:lang w:eastAsia="en-US"/>
    </w:rPr>
  </w:style>
  <w:style w:type="character" w:customStyle="1" w:styleId="HeaderChar">
    <w:name w:val="Header Char"/>
    <w:basedOn w:val="DefaultParagraphFont"/>
    <w:link w:val="Header"/>
    <w:uiPriority w:val="99"/>
    <w:rsid w:val="00643BBA"/>
    <w:rPr>
      <w:lang w:eastAsia="en-US"/>
    </w:rPr>
  </w:style>
  <w:style w:type="character" w:styleId="UnresolvedMention">
    <w:name w:val="Unresolved Mention"/>
    <w:basedOn w:val="DefaultParagraphFont"/>
    <w:uiPriority w:val="99"/>
    <w:semiHidden/>
    <w:unhideWhenUsed/>
    <w:rsid w:val="003F319A"/>
    <w:rPr>
      <w:color w:val="605E5C"/>
      <w:shd w:val="clear" w:color="auto" w:fill="E1DFDD"/>
    </w:rPr>
  </w:style>
  <w:style w:type="character" w:styleId="CommentReference">
    <w:name w:val="annotation reference"/>
    <w:basedOn w:val="DefaultParagraphFont"/>
    <w:semiHidden/>
    <w:unhideWhenUsed/>
    <w:rsid w:val="00BE2526"/>
    <w:rPr>
      <w:sz w:val="16"/>
      <w:szCs w:val="16"/>
    </w:rPr>
  </w:style>
  <w:style w:type="paragraph" w:styleId="CommentText">
    <w:name w:val="annotation text"/>
    <w:basedOn w:val="Normal"/>
    <w:link w:val="CommentTextChar"/>
    <w:semiHidden/>
    <w:unhideWhenUsed/>
    <w:rsid w:val="00BE2526"/>
  </w:style>
  <w:style w:type="character" w:customStyle="1" w:styleId="CommentTextChar">
    <w:name w:val="Comment Text Char"/>
    <w:basedOn w:val="DefaultParagraphFont"/>
    <w:link w:val="CommentText"/>
    <w:semiHidden/>
    <w:rsid w:val="00BE2526"/>
    <w:rPr>
      <w:lang w:eastAsia="en-US"/>
    </w:rPr>
  </w:style>
  <w:style w:type="paragraph" w:styleId="CommentSubject">
    <w:name w:val="annotation subject"/>
    <w:basedOn w:val="CommentText"/>
    <w:next w:val="CommentText"/>
    <w:link w:val="CommentSubjectChar"/>
    <w:semiHidden/>
    <w:unhideWhenUsed/>
    <w:rsid w:val="00BE2526"/>
    <w:rPr>
      <w:b/>
      <w:bCs/>
    </w:rPr>
  </w:style>
  <w:style w:type="character" w:customStyle="1" w:styleId="CommentSubjectChar">
    <w:name w:val="Comment Subject Char"/>
    <w:basedOn w:val="CommentTextChar"/>
    <w:link w:val="CommentSubject"/>
    <w:semiHidden/>
    <w:rsid w:val="00BE252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9768">
      <w:bodyDiv w:val="1"/>
      <w:marLeft w:val="0"/>
      <w:marRight w:val="0"/>
      <w:marTop w:val="0"/>
      <w:marBottom w:val="0"/>
      <w:divBdr>
        <w:top w:val="none" w:sz="0" w:space="0" w:color="auto"/>
        <w:left w:val="none" w:sz="0" w:space="0" w:color="auto"/>
        <w:bottom w:val="none" w:sz="0" w:space="0" w:color="auto"/>
        <w:right w:val="none" w:sz="0" w:space="0" w:color="auto"/>
      </w:divBdr>
      <w:divsChild>
        <w:div w:id="114450212">
          <w:marLeft w:val="0"/>
          <w:marRight w:val="0"/>
          <w:marTop w:val="0"/>
          <w:marBottom w:val="0"/>
          <w:divBdr>
            <w:top w:val="none" w:sz="0" w:space="0" w:color="auto"/>
            <w:left w:val="none" w:sz="0" w:space="0" w:color="auto"/>
            <w:bottom w:val="none" w:sz="0" w:space="0" w:color="auto"/>
            <w:right w:val="none" w:sz="0" w:space="0" w:color="auto"/>
          </w:divBdr>
          <w:divsChild>
            <w:div w:id="1272514264">
              <w:marLeft w:val="5"/>
              <w:marRight w:val="5"/>
              <w:marTop w:val="0"/>
              <w:marBottom w:val="0"/>
              <w:divBdr>
                <w:top w:val="none" w:sz="0" w:space="0" w:color="auto"/>
                <w:left w:val="none" w:sz="0" w:space="0" w:color="auto"/>
                <w:bottom w:val="none" w:sz="0" w:space="0" w:color="auto"/>
                <w:right w:val="none" w:sz="0" w:space="0" w:color="auto"/>
              </w:divBdr>
              <w:divsChild>
                <w:div w:id="19572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tes.org/sites/default/files/document/E-Res-11-15-R1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import/befo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ites.org/sites/default/files/document/E-Res-12-03-R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IconOverlay xmlns="http://schemas.microsoft.com/sharepoint/v4" xsi:nil="true"/>
    <DocumentDescription xmlns="344c6e69-c594-4ca4-b341-09ae9dfc1422" xsi:nil="true"/>
    <RecordNumber xmlns="344c6e69-c594-4ca4-b341-09ae9dfc1422">000401053</RecordNumber>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9" ma:contentTypeDescription="SPIRE Document" ma:contentTypeScope="" ma:versionID="871916fad47bad4e8afed1eb82b5632d">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ef787d53079b15267336a929c116c7a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B3F8E-C75D-475A-8496-C32FD7AABED6}">
  <ds:schemaRefs>
    <ds:schemaRef ds:uri="http://schemas.microsoft.com/office/2006/metadata/customXsn"/>
  </ds:schemaRefs>
</ds:datastoreItem>
</file>

<file path=customXml/itemProps2.xml><?xml version="1.0" encoding="utf-8"?>
<ds:datastoreItem xmlns:ds="http://schemas.openxmlformats.org/officeDocument/2006/customXml" ds:itemID="{F80C38CB-2DE7-4011-94D1-81D31FFA4C6B}">
  <ds:schemaRefs>
    <ds:schemaRef ds:uri="http://schemas.microsoft.com/sharepoint/events"/>
  </ds:schemaRefs>
</ds:datastoreItem>
</file>

<file path=customXml/itemProps3.xml><?xml version="1.0" encoding="utf-8"?>
<ds:datastoreItem xmlns:ds="http://schemas.openxmlformats.org/officeDocument/2006/customXml" ds:itemID="{3B2BC0C1-D551-45CE-8E8F-73B26CC24EA8}">
  <ds:schemaRefs>
    <ds:schemaRef ds:uri="http://schemas.microsoft.com/sharepoint/v3/contenttype/forms"/>
  </ds:schemaRefs>
</ds:datastoreItem>
</file>

<file path=customXml/itemProps4.xml><?xml version="1.0" encoding="utf-8"?>
<ds:datastoreItem xmlns:ds="http://schemas.openxmlformats.org/officeDocument/2006/customXml" ds:itemID="{4770459D-E22F-4825-8CA9-73E02C666A4E}">
  <ds:schemaRefs>
    <ds:schemaRef ds:uri="http://purl.org/dc/terms/"/>
    <ds:schemaRef ds:uri="344c6e69-c594-4ca4-b341-09ae9dfc142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68A5E81-C93D-4BE2-93D0-C66572166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6474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2020 - Update Guide to Scientific Exchange System</vt:lpstr>
    </vt:vector>
  </TitlesOfParts>
  <Company>Environment Australia</Company>
  <LinksUpToDate>false</LinksUpToDate>
  <CharactersWithSpaces>7490</CharactersWithSpaces>
  <SharedDoc>false</SharedDoc>
  <HLinks>
    <vt:vector size="24" baseType="variant">
      <vt:variant>
        <vt:i4>7143449</vt:i4>
      </vt:variant>
      <vt:variant>
        <vt:i4>9</vt:i4>
      </vt:variant>
      <vt:variant>
        <vt:i4>0</vt:i4>
      </vt:variant>
      <vt:variant>
        <vt:i4>5</vt:i4>
      </vt:variant>
      <vt:variant>
        <vt:lpwstr>mailto:wildlifetrade@environment.gov.au</vt:lpwstr>
      </vt:variant>
      <vt:variant>
        <vt:lpwstr/>
      </vt:variant>
      <vt:variant>
        <vt:i4>1572881</vt:i4>
      </vt:variant>
      <vt:variant>
        <vt:i4>6</vt:i4>
      </vt:variant>
      <vt:variant>
        <vt:i4>0</vt:i4>
      </vt:variant>
      <vt:variant>
        <vt:i4>5</vt:i4>
      </vt:variant>
      <vt:variant>
        <vt:lpwstr>http://www.environment.gov.au/biodiversity/wildlife-trade/permits/index.html</vt:lpwstr>
      </vt:variant>
      <vt:variant>
        <vt:lpwstr/>
      </vt:variant>
      <vt:variant>
        <vt:i4>327806</vt:i4>
      </vt:variant>
      <vt:variant>
        <vt:i4>3</vt:i4>
      </vt:variant>
      <vt:variant>
        <vt:i4>0</vt:i4>
      </vt:variant>
      <vt:variant>
        <vt:i4>5</vt:i4>
      </vt:variant>
      <vt:variant>
        <vt:lpwstr>mailto:information@customs.gov.au</vt:lpwstr>
      </vt:variant>
      <vt:variant>
        <vt:lpwstr/>
      </vt:variant>
      <vt:variant>
        <vt:i4>7864358</vt:i4>
      </vt:variant>
      <vt:variant>
        <vt:i4>0</vt:i4>
      </vt:variant>
      <vt:variant>
        <vt:i4>0</vt:i4>
      </vt:variant>
      <vt:variant>
        <vt:i4>5</vt:i4>
      </vt:variant>
      <vt:variant>
        <vt:lpwstr>http://www.customs.gov.au/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 Update Guide to Scientific Exchange System</dc:title>
  <dc:creator>Michelle van der Voort</dc:creator>
  <cp:lastModifiedBy>Karen Stuart-Williams</cp:lastModifiedBy>
  <cp:revision>2</cp:revision>
  <cp:lastPrinted>2015-12-03T02:49:00Z</cp:lastPrinted>
  <dcterms:created xsi:type="dcterms:W3CDTF">2020-09-21T23:16:00Z</dcterms:created>
  <dcterms:modified xsi:type="dcterms:W3CDTF">2020-09-21T23:16:00Z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0x0101009DB8618430E8D149BA674DA7B0E0C3F00001A56802C5B3924CB2D3DB98D8C9CEDB</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{6093c3d3-7f25-4188-8657-48470e92f428}</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{5e988665-a432-4a1d-8520-6271c5820c35}</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